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99F9" w14:textId="7ACB1744" w:rsidR="00F3484D" w:rsidRPr="0088331A" w:rsidRDefault="004F73F4" w:rsidP="0066387B">
      <w:pPr>
        <w:spacing w:after="0"/>
        <w:rPr>
          <w:rFonts w:ascii="Arial" w:hAnsi="Arial" w:cs="Arial"/>
          <w:b/>
          <w:sz w:val="28"/>
          <w:szCs w:val="28"/>
          <w:lang w:val="en-US"/>
        </w:rPr>
      </w:pPr>
      <w:r w:rsidRPr="0088331A">
        <w:rPr>
          <w:rFonts w:ascii="Arial" w:hAnsi="Arial" w:cs="Arial"/>
          <w:b/>
          <w:sz w:val="28"/>
          <w:szCs w:val="28"/>
          <w:lang w:val="en-US"/>
        </w:rPr>
        <w:t>POST-TRANSPLANT</w:t>
      </w:r>
      <w:r w:rsidR="00BC16EE" w:rsidRPr="0088331A">
        <w:rPr>
          <w:rFonts w:ascii="Arial" w:hAnsi="Arial" w:cs="Arial"/>
          <w:b/>
          <w:sz w:val="28"/>
          <w:szCs w:val="28"/>
          <w:lang w:val="en-US"/>
        </w:rPr>
        <w:t xml:space="preserve"> OSTEOPOROSIS</w:t>
      </w:r>
    </w:p>
    <w:p w14:paraId="0D67A36E" w14:textId="77777777" w:rsidR="000D5720" w:rsidRPr="005073CD" w:rsidRDefault="000D5720" w:rsidP="0066387B">
      <w:pPr>
        <w:spacing w:after="0"/>
        <w:rPr>
          <w:rFonts w:ascii="Arial" w:hAnsi="Arial" w:cs="Arial"/>
          <w:b/>
          <w:sz w:val="24"/>
          <w:szCs w:val="24"/>
          <w:lang w:val="en-US"/>
        </w:rPr>
      </w:pPr>
    </w:p>
    <w:p w14:paraId="016A957E" w14:textId="57184A2E" w:rsidR="00007D18" w:rsidRPr="0066387B" w:rsidRDefault="000D5720" w:rsidP="0066387B">
      <w:pPr>
        <w:spacing w:after="0"/>
        <w:rPr>
          <w:rFonts w:ascii="Arial" w:hAnsi="Arial" w:cs="Arial"/>
          <w:bCs/>
          <w:sz w:val="20"/>
          <w:szCs w:val="20"/>
          <w:lang w:val="en-US"/>
        </w:rPr>
      </w:pPr>
      <w:r w:rsidRPr="00FE3A75">
        <w:rPr>
          <w:rFonts w:ascii="Arial" w:hAnsi="Arial" w:cs="Arial"/>
          <w:b/>
          <w:sz w:val="24"/>
          <w:szCs w:val="24"/>
          <w:lang w:val="en-US"/>
        </w:rPr>
        <w:t xml:space="preserve">Federico Hawkins Carranza, </w:t>
      </w:r>
      <w:r w:rsidR="00032E39" w:rsidRPr="00FE3A75">
        <w:rPr>
          <w:rFonts w:ascii="Arial" w:hAnsi="Arial" w:cs="Arial"/>
          <w:b/>
          <w:bCs/>
          <w:color w:val="000000"/>
          <w:sz w:val="24"/>
          <w:szCs w:val="24"/>
          <w:shd w:val="clear" w:color="auto" w:fill="FFFFFF"/>
          <w:lang w:val="en-US"/>
        </w:rPr>
        <w:t>MD</w:t>
      </w:r>
      <w:r w:rsidR="00007D18" w:rsidRPr="00FE3A75">
        <w:rPr>
          <w:rFonts w:ascii="Arial" w:hAnsi="Arial" w:cs="Arial"/>
          <w:b/>
          <w:bCs/>
          <w:color w:val="000000"/>
          <w:sz w:val="24"/>
          <w:szCs w:val="24"/>
          <w:shd w:val="clear" w:color="auto" w:fill="FFFFFF"/>
          <w:lang w:val="en-US"/>
        </w:rPr>
        <w:t xml:space="preserve">, </w:t>
      </w:r>
      <w:r w:rsidR="00032E39" w:rsidRPr="00FE3A75">
        <w:rPr>
          <w:rFonts w:ascii="Arial" w:hAnsi="Arial" w:cs="Arial"/>
          <w:b/>
          <w:bCs/>
          <w:color w:val="000000"/>
          <w:sz w:val="24"/>
          <w:szCs w:val="24"/>
          <w:shd w:val="clear" w:color="auto" w:fill="FFFFFF"/>
          <w:lang w:val="en-US"/>
        </w:rPr>
        <w:t>PhD</w:t>
      </w:r>
      <w:r w:rsidR="00BF415E" w:rsidRPr="00FE3A75">
        <w:rPr>
          <w:rFonts w:ascii="Arial" w:hAnsi="Arial" w:cs="Arial"/>
          <w:color w:val="000000"/>
          <w:sz w:val="24"/>
          <w:szCs w:val="24"/>
          <w:shd w:val="clear" w:color="auto" w:fill="FFFFFF"/>
          <w:lang w:val="en-US"/>
        </w:rPr>
        <w:t>,</w:t>
      </w:r>
      <w:r w:rsidR="00BF415E" w:rsidRPr="005073CD">
        <w:rPr>
          <w:rFonts w:ascii="Arial" w:hAnsi="Arial" w:cs="Arial"/>
          <w:color w:val="000000"/>
          <w:sz w:val="24"/>
          <w:szCs w:val="24"/>
          <w:shd w:val="clear" w:color="auto" w:fill="FFFFFF"/>
          <w:lang w:val="en-US"/>
        </w:rPr>
        <w:t xml:space="preserve"> </w:t>
      </w:r>
      <w:r w:rsidR="00BF415E" w:rsidRPr="0066387B">
        <w:rPr>
          <w:rFonts w:ascii="Arial" w:hAnsi="Arial" w:cs="Arial"/>
          <w:bCs/>
          <w:sz w:val="20"/>
          <w:szCs w:val="20"/>
          <w:lang w:val="en-US"/>
        </w:rPr>
        <w:t>Professor</w:t>
      </w:r>
      <w:r w:rsidRPr="0066387B">
        <w:rPr>
          <w:rFonts w:ascii="Arial" w:hAnsi="Arial" w:cs="Arial"/>
          <w:bCs/>
          <w:sz w:val="20"/>
          <w:szCs w:val="20"/>
          <w:lang w:val="en-US"/>
        </w:rPr>
        <w:t xml:space="preserve"> of Medicine, Research </w:t>
      </w:r>
      <w:r w:rsidR="00007D18" w:rsidRPr="0066387B">
        <w:rPr>
          <w:rFonts w:ascii="Arial" w:hAnsi="Arial" w:cs="Arial"/>
          <w:bCs/>
          <w:sz w:val="20"/>
          <w:szCs w:val="20"/>
          <w:lang w:val="en-US"/>
        </w:rPr>
        <w:t>Institute</w:t>
      </w:r>
      <w:r w:rsidR="005D3C80" w:rsidRPr="0066387B">
        <w:rPr>
          <w:rFonts w:ascii="Arial" w:hAnsi="Arial" w:cs="Arial"/>
          <w:bCs/>
          <w:sz w:val="20"/>
          <w:szCs w:val="20"/>
          <w:lang w:val="en-US"/>
        </w:rPr>
        <w:t>,</w:t>
      </w:r>
      <w:r w:rsidRPr="0066387B">
        <w:rPr>
          <w:rFonts w:ascii="Arial" w:hAnsi="Arial" w:cs="Arial"/>
          <w:bCs/>
          <w:sz w:val="20"/>
          <w:szCs w:val="20"/>
          <w:lang w:val="en-US"/>
        </w:rPr>
        <w:t xml:space="preserve"> </w:t>
      </w:r>
      <w:bookmarkStart w:id="0" w:name="_Hlk192508545"/>
      <w:r w:rsidRPr="0066387B">
        <w:rPr>
          <w:rFonts w:ascii="Arial" w:hAnsi="Arial" w:cs="Arial"/>
          <w:bCs/>
          <w:sz w:val="20"/>
          <w:szCs w:val="20"/>
          <w:lang w:val="en-US"/>
        </w:rPr>
        <w:t xml:space="preserve">12 de </w:t>
      </w:r>
      <w:proofErr w:type="spellStart"/>
      <w:r w:rsidRPr="0066387B">
        <w:rPr>
          <w:rFonts w:ascii="Arial" w:hAnsi="Arial" w:cs="Arial"/>
          <w:bCs/>
          <w:sz w:val="20"/>
          <w:szCs w:val="20"/>
          <w:lang w:val="en-US"/>
        </w:rPr>
        <w:t>Octubre</w:t>
      </w:r>
      <w:proofErr w:type="spellEnd"/>
      <w:r w:rsidR="005D3C80" w:rsidRPr="0066387B">
        <w:rPr>
          <w:rFonts w:ascii="Arial" w:hAnsi="Arial" w:cs="Arial"/>
          <w:bCs/>
          <w:sz w:val="20"/>
          <w:szCs w:val="20"/>
          <w:lang w:val="en-US"/>
        </w:rPr>
        <w:t xml:space="preserve"> University Hospital</w:t>
      </w:r>
      <w:r w:rsidRPr="0066387B">
        <w:rPr>
          <w:rFonts w:ascii="Arial" w:hAnsi="Arial" w:cs="Arial"/>
          <w:bCs/>
          <w:sz w:val="20"/>
          <w:szCs w:val="20"/>
          <w:lang w:val="en-US"/>
        </w:rPr>
        <w:t xml:space="preserve">, </w:t>
      </w:r>
      <w:r w:rsidR="005D3C80" w:rsidRPr="0066387B">
        <w:rPr>
          <w:rFonts w:ascii="Arial" w:hAnsi="Arial" w:cs="Arial"/>
          <w:bCs/>
          <w:sz w:val="20"/>
          <w:szCs w:val="20"/>
          <w:lang w:val="en-US"/>
        </w:rPr>
        <w:t>School of</w:t>
      </w:r>
      <w:r w:rsidRPr="0066387B">
        <w:rPr>
          <w:rFonts w:ascii="Arial" w:hAnsi="Arial" w:cs="Arial"/>
          <w:bCs/>
          <w:sz w:val="20"/>
          <w:szCs w:val="20"/>
          <w:lang w:val="en-US"/>
        </w:rPr>
        <w:t xml:space="preserve"> Medicine, </w:t>
      </w:r>
      <w:r w:rsidR="005D3C80" w:rsidRPr="0066387B">
        <w:rPr>
          <w:rFonts w:ascii="Arial" w:hAnsi="Arial" w:cs="Arial"/>
          <w:bCs/>
          <w:sz w:val="20"/>
          <w:szCs w:val="20"/>
          <w:lang w:val="en-US"/>
        </w:rPr>
        <w:t xml:space="preserve">Complutense </w:t>
      </w:r>
      <w:r w:rsidRPr="0066387B">
        <w:rPr>
          <w:rFonts w:ascii="Arial" w:hAnsi="Arial" w:cs="Arial"/>
          <w:bCs/>
          <w:sz w:val="20"/>
          <w:szCs w:val="20"/>
          <w:lang w:val="en-US"/>
        </w:rPr>
        <w:t>University</w:t>
      </w:r>
      <w:r w:rsidR="005D3C80" w:rsidRPr="0066387B">
        <w:rPr>
          <w:rFonts w:ascii="Arial" w:hAnsi="Arial" w:cs="Arial"/>
          <w:bCs/>
          <w:sz w:val="20"/>
          <w:szCs w:val="20"/>
          <w:lang w:val="en-US"/>
        </w:rPr>
        <w:t xml:space="preserve">, </w:t>
      </w:r>
      <w:bookmarkStart w:id="1" w:name="_Hlk192509651"/>
      <w:r w:rsidR="00007D18" w:rsidRPr="0066387B">
        <w:rPr>
          <w:rFonts w:ascii="Arial" w:hAnsi="Arial" w:cs="Arial"/>
          <w:bCs/>
          <w:sz w:val="20"/>
          <w:szCs w:val="20"/>
          <w:lang w:val="en-US"/>
        </w:rPr>
        <w:t>28040 Madrid</w:t>
      </w:r>
      <w:r w:rsidR="003A4B71" w:rsidRPr="0066387B">
        <w:rPr>
          <w:rFonts w:ascii="Arial" w:hAnsi="Arial" w:cs="Arial"/>
          <w:bCs/>
          <w:sz w:val="20"/>
          <w:szCs w:val="20"/>
          <w:lang w:val="en-US"/>
        </w:rPr>
        <w:t>.</w:t>
      </w:r>
      <w:r w:rsidR="00007D18" w:rsidRPr="0066387B">
        <w:rPr>
          <w:rFonts w:ascii="Arial" w:hAnsi="Arial" w:cs="Arial"/>
          <w:bCs/>
          <w:sz w:val="20"/>
          <w:szCs w:val="20"/>
          <w:lang w:val="en-US"/>
        </w:rPr>
        <w:t xml:space="preserve"> </w:t>
      </w:r>
      <w:bookmarkEnd w:id="1"/>
      <w:r w:rsidR="00007D18" w:rsidRPr="0066387B">
        <w:rPr>
          <w:rFonts w:ascii="Arial" w:hAnsi="Arial" w:cs="Arial"/>
          <w:bCs/>
          <w:sz w:val="20"/>
          <w:szCs w:val="20"/>
          <w:lang w:val="en-US"/>
        </w:rPr>
        <w:fldChar w:fldCharType="begin"/>
      </w:r>
      <w:r w:rsidR="00007D18" w:rsidRPr="0066387B">
        <w:rPr>
          <w:rFonts w:ascii="Arial" w:hAnsi="Arial" w:cs="Arial"/>
          <w:bCs/>
          <w:sz w:val="20"/>
          <w:szCs w:val="20"/>
          <w:lang w:val="en-US"/>
        </w:rPr>
        <w:instrText>HYPERLINK "mailto:fghawkin@ucm.es"</w:instrText>
      </w:r>
      <w:r w:rsidR="00007D18" w:rsidRPr="0066387B">
        <w:rPr>
          <w:rFonts w:ascii="Arial" w:hAnsi="Arial" w:cs="Arial"/>
          <w:bCs/>
          <w:sz w:val="20"/>
          <w:szCs w:val="20"/>
          <w:lang w:val="en-US"/>
        </w:rPr>
      </w:r>
      <w:r w:rsidR="00007D18" w:rsidRPr="0066387B">
        <w:rPr>
          <w:rFonts w:ascii="Arial" w:hAnsi="Arial" w:cs="Arial"/>
          <w:bCs/>
          <w:sz w:val="20"/>
          <w:szCs w:val="20"/>
          <w:lang w:val="en-US"/>
        </w:rPr>
        <w:fldChar w:fldCharType="separate"/>
      </w:r>
      <w:r w:rsidR="00007D18" w:rsidRPr="0066387B">
        <w:rPr>
          <w:rStyle w:val="Hyperlink"/>
          <w:rFonts w:ascii="Arial" w:hAnsi="Arial" w:cs="Arial"/>
          <w:bCs/>
          <w:color w:val="auto"/>
          <w:sz w:val="20"/>
          <w:szCs w:val="20"/>
          <w:u w:val="none"/>
          <w:lang w:val="en-US"/>
        </w:rPr>
        <w:t>fghawkin@ucm.es</w:t>
      </w:r>
      <w:r w:rsidR="00007D18" w:rsidRPr="0066387B">
        <w:rPr>
          <w:rFonts w:ascii="Arial" w:hAnsi="Arial" w:cs="Arial"/>
          <w:bCs/>
          <w:sz w:val="20"/>
          <w:szCs w:val="20"/>
          <w:lang w:val="en-US"/>
        </w:rPr>
        <w:fldChar w:fldCharType="end"/>
      </w:r>
    </w:p>
    <w:bookmarkEnd w:id="0"/>
    <w:p w14:paraId="790469A6" w14:textId="508CBA4F" w:rsidR="00007D18" w:rsidRPr="0066387B" w:rsidRDefault="000D5720" w:rsidP="0066387B">
      <w:pPr>
        <w:spacing w:after="0"/>
        <w:rPr>
          <w:rFonts w:ascii="Arial" w:hAnsi="Arial" w:cs="Arial"/>
          <w:bCs/>
          <w:sz w:val="20"/>
          <w:szCs w:val="20"/>
          <w:lang w:val="en-US"/>
        </w:rPr>
      </w:pPr>
      <w:r w:rsidRPr="00FE3A75">
        <w:rPr>
          <w:rFonts w:ascii="Arial" w:hAnsi="Arial" w:cs="Arial"/>
          <w:b/>
          <w:sz w:val="24"/>
          <w:szCs w:val="24"/>
          <w:lang w:val="en-US"/>
        </w:rPr>
        <w:t xml:space="preserve">Gonzalo </w:t>
      </w:r>
      <w:proofErr w:type="spellStart"/>
      <w:r w:rsidRPr="00FE3A75">
        <w:rPr>
          <w:rFonts w:ascii="Arial" w:hAnsi="Arial" w:cs="Arial"/>
          <w:b/>
          <w:sz w:val="24"/>
          <w:szCs w:val="24"/>
          <w:lang w:val="en-US"/>
        </w:rPr>
        <w:t>Allo</w:t>
      </w:r>
      <w:proofErr w:type="spellEnd"/>
      <w:r w:rsidR="008260DA" w:rsidRPr="00FE3A75">
        <w:rPr>
          <w:rFonts w:ascii="Arial" w:hAnsi="Arial" w:cs="Arial"/>
          <w:b/>
          <w:sz w:val="24"/>
          <w:szCs w:val="24"/>
          <w:lang w:val="en-US"/>
        </w:rPr>
        <w:t xml:space="preserve"> Miguel</w:t>
      </w:r>
      <w:r w:rsidRPr="00FE3A75">
        <w:rPr>
          <w:rFonts w:ascii="Arial" w:hAnsi="Arial" w:cs="Arial"/>
          <w:b/>
          <w:sz w:val="24"/>
          <w:szCs w:val="24"/>
          <w:lang w:val="en-US"/>
        </w:rPr>
        <w:t xml:space="preserve">, </w:t>
      </w:r>
      <w:r w:rsidR="00032E39" w:rsidRPr="00FE3A75">
        <w:rPr>
          <w:rFonts w:ascii="Arial" w:hAnsi="Arial" w:cs="Arial"/>
          <w:b/>
          <w:color w:val="000000"/>
          <w:sz w:val="24"/>
          <w:szCs w:val="24"/>
          <w:shd w:val="clear" w:color="auto" w:fill="FFFFFF"/>
          <w:lang w:val="en-US"/>
        </w:rPr>
        <w:t>MD</w:t>
      </w:r>
      <w:r w:rsidR="00007D18" w:rsidRPr="00FE3A75">
        <w:rPr>
          <w:rFonts w:ascii="Arial" w:hAnsi="Arial" w:cs="Arial"/>
          <w:b/>
          <w:color w:val="000000"/>
          <w:sz w:val="24"/>
          <w:szCs w:val="24"/>
          <w:shd w:val="clear" w:color="auto" w:fill="FFFFFF"/>
          <w:lang w:val="en-US"/>
        </w:rPr>
        <w:t>,</w:t>
      </w:r>
      <w:r w:rsidR="00032E39" w:rsidRPr="00FE3A75">
        <w:rPr>
          <w:rFonts w:ascii="Arial" w:hAnsi="Arial" w:cs="Arial"/>
          <w:b/>
          <w:color w:val="000000"/>
          <w:sz w:val="24"/>
          <w:szCs w:val="24"/>
          <w:shd w:val="clear" w:color="auto" w:fill="FFFFFF"/>
          <w:lang w:val="en-US"/>
        </w:rPr>
        <w:t xml:space="preserve"> PhD,</w:t>
      </w:r>
      <w:r w:rsidR="00032E39" w:rsidRPr="005073CD">
        <w:rPr>
          <w:rFonts w:ascii="Arial" w:hAnsi="Arial" w:cs="Arial"/>
          <w:color w:val="000000"/>
          <w:sz w:val="24"/>
          <w:szCs w:val="24"/>
          <w:shd w:val="clear" w:color="auto" w:fill="FFFFFF"/>
          <w:lang w:val="en-US"/>
        </w:rPr>
        <w:t xml:space="preserve"> </w:t>
      </w:r>
      <w:r w:rsidR="00007D18" w:rsidRPr="0066387B">
        <w:rPr>
          <w:rFonts w:ascii="Arial" w:hAnsi="Arial" w:cs="Arial"/>
          <w:bCs/>
          <w:sz w:val="20"/>
          <w:szCs w:val="20"/>
          <w:lang w:val="en-US"/>
        </w:rPr>
        <w:t xml:space="preserve">Associate Professor of Medicine, 12 de </w:t>
      </w:r>
      <w:proofErr w:type="spellStart"/>
      <w:r w:rsidR="00007D18" w:rsidRPr="0066387B">
        <w:rPr>
          <w:rFonts w:ascii="Arial" w:hAnsi="Arial" w:cs="Arial"/>
          <w:bCs/>
          <w:sz w:val="20"/>
          <w:szCs w:val="20"/>
          <w:lang w:val="en-US"/>
        </w:rPr>
        <w:t>Octubre</w:t>
      </w:r>
      <w:proofErr w:type="spellEnd"/>
      <w:r w:rsidR="005D3C80" w:rsidRPr="0066387B">
        <w:rPr>
          <w:rFonts w:ascii="Arial" w:hAnsi="Arial" w:cs="Arial"/>
          <w:bCs/>
          <w:sz w:val="20"/>
          <w:szCs w:val="20"/>
          <w:lang w:val="en-US"/>
        </w:rPr>
        <w:t xml:space="preserve"> University Hospital</w:t>
      </w:r>
      <w:r w:rsidR="00007D18" w:rsidRPr="0066387B">
        <w:rPr>
          <w:rFonts w:ascii="Arial" w:hAnsi="Arial" w:cs="Arial"/>
          <w:bCs/>
          <w:sz w:val="20"/>
          <w:szCs w:val="20"/>
          <w:lang w:val="en-US"/>
        </w:rPr>
        <w:t xml:space="preserve">, </w:t>
      </w:r>
      <w:r w:rsidR="005D3C80" w:rsidRPr="0066387B">
        <w:rPr>
          <w:rFonts w:ascii="Arial" w:hAnsi="Arial" w:cs="Arial"/>
          <w:bCs/>
          <w:sz w:val="20"/>
          <w:szCs w:val="20"/>
          <w:lang w:val="en-US"/>
        </w:rPr>
        <w:t xml:space="preserve">School of </w:t>
      </w:r>
      <w:r w:rsidR="00007D18" w:rsidRPr="0066387B">
        <w:rPr>
          <w:rFonts w:ascii="Arial" w:hAnsi="Arial" w:cs="Arial"/>
          <w:bCs/>
          <w:sz w:val="20"/>
          <w:szCs w:val="20"/>
          <w:lang w:val="en-US"/>
        </w:rPr>
        <w:t xml:space="preserve">Medicine, </w:t>
      </w:r>
      <w:r w:rsidR="005D3C80" w:rsidRPr="0066387B">
        <w:rPr>
          <w:rFonts w:ascii="Arial" w:hAnsi="Arial" w:cs="Arial"/>
          <w:bCs/>
          <w:sz w:val="20"/>
          <w:szCs w:val="20"/>
          <w:lang w:val="en-US"/>
        </w:rPr>
        <w:t xml:space="preserve">Complutense </w:t>
      </w:r>
      <w:r w:rsidR="00007D18" w:rsidRPr="0066387B">
        <w:rPr>
          <w:rFonts w:ascii="Arial" w:hAnsi="Arial" w:cs="Arial"/>
          <w:bCs/>
          <w:sz w:val="20"/>
          <w:szCs w:val="20"/>
          <w:lang w:val="en-US"/>
        </w:rPr>
        <w:t>University</w:t>
      </w:r>
      <w:r w:rsidR="005D3C80" w:rsidRPr="0066387B">
        <w:rPr>
          <w:rFonts w:ascii="Arial" w:hAnsi="Arial" w:cs="Arial"/>
          <w:bCs/>
          <w:sz w:val="20"/>
          <w:szCs w:val="20"/>
          <w:lang w:val="en-US"/>
        </w:rPr>
        <w:t>,</w:t>
      </w:r>
      <w:r w:rsidR="003A4B71" w:rsidRPr="0066387B">
        <w:rPr>
          <w:rFonts w:ascii="Arial" w:hAnsi="Arial" w:cs="Arial"/>
          <w:bCs/>
          <w:sz w:val="20"/>
          <w:szCs w:val="20"/>
          <w:lang w:val="en-US"/>
        </w:rPr>
        <w:t xml:space="preserve"> </w:t>
      </w:r>
      <w:r w:rsidR="00007D18" w:rsidRPr="0066387B">
        <w:rPr>
          <w:rFonts w:ascii="Arial" w:hAnsi="Arial" w:cs="Arial"/>
          <w:bCs/>
          <w:sz w:val="20"/>
          <w:szCs w:val="20"/>
          <w:lang w:val="en-US"/>
        </w:rPr>
        <w:t>28040 Madrid</w:t>
      </w:r>
      <w:r w:rsidR="003A4B71" w:rsidRPr="0066387B">
        <w:rPr>
          <w:rFonts w:ascii="Arial" w:hAnsi="Arial" w:cs="Arial"/>
          <w:bCs/>
          <w:sz w:val="20"/>
          <w:szCs w:val="20"/>
          <w:lang w:val="en-US"/>
        </w:rPr>
        <w:t>.</w:t>
      </w:r>
      <w:r w:rsidR="003A4B71" w:rsidRPr="0066387B">
        <w:rPr>
          <w:rFonts w:ascii="Arial" w:hAnsi="Arial" w:cs="Arial"/>
          <w:color w:val="5E5E5E"/>
          <w:sz w:val="20"/>
          <w:szCs w:val="20"/>
          <w:shd w:val="clear" w:color="auto" w:fill="FFFFFF"/>
          <w:lang w:val="en-US"/>
        </w:rPr>
        <w:t xml:space="preserve"> </w:t>
      </w:r>
      <w:r w:rsidR="003A4B71" w:rsidRPr="0066387B">
        <w:rPr>
          <w:rFonts w:ascii="Arial" w:hAnsi="Arial" w:cs="Arial"/>
          <w:sz w:val="20"/>
          <w:szCs w:val="20"/>
          <w:shd w:val="clear" w:color="auto" w:fill="FFFFFF"/>
          <w:lang w:val="en-US"/>
        </w:rPr>
        <w:t>gonzaloallo.endo@gmail.com</w:t>
      </w:r>
    </w:p>
    <w:p w14:paraId="18580F92" w14:textId="4921F51C" w:rsidR="003A4B71" w:rsidRPr="0066387B" w:rsidRDefault="008260DA" w:rsidP="0066387B">
      <w:pPr>
        <w:spacing w:after="0"/>
        <w:rPr>
          <w:rFonts w:ascii="Arial" w:eastAsia="Times New Roman" w:hAnsi="Arial" w:cs="Arial"/>
          <w:sz w:val="20"/>
          <w:szCs w:val="20"/>
          <w:lang w:val="en-US" w:eastAsia="es-ES"/>
        </w:rPr>
      </w:pPr>
      <w:r w:rsidRPr="00FE3A75">
        <w:rPr>
          <w:rFonts w:ascii="Arial" w:hAnsi="Arial" w:cs="Arial"/>
          <w:b/>
          <w:sz w:val="24"/>
          <w:szCs w:val="24"/>
          <w:lang w:val="en-US"/>
        </w:rPr>
        <w:t xml:space="preserve">María </w:t>
      </w:r>
      <w:r w:rsidR="000D5720" w:rsidRPr="00FE3A75">
        <w:rPr>
          <w:rFonts w:ascii="Arial" w:hAnsi="Arial" w:cs="Arial"/>
          <w:b/>
          <w:sz w:val="24"/>
          <w:szCs w:val="24"/>
          <w:lang w:val="en-US"/>
        </w:rPr>
        <w:t xml:space="preserve">Soledad Librizzi, </w:t>
      </w:r>
      <w:r w:rsidR="00032E39" w:rsidRPr="00FE3A75">
        <w:rPr>
          <w:rFonts w:ascii="Arial" w:hAnsi="Arial" w:cs="Arial"/>
          <w:b/>
          <w:color w:val="000000"/>
          <w:sz w:val="24"/>
          <w:szCs w:val="24"/>
          <w:shd w:val="clear" w:color="auto" w:fill="FFFFFF"/>
          <w:lang w:val="en-US"/>
        </w:rPr>
        <w:t>MD</w:t>
      </w:r>
      <w:r w:rsidR="00007D18" w:rsidRPr="00FE3A75">
        <w:rPr>
          <w:rFonts w:ascii="Arial" w:hAnsi="Arial" w:cs="Arial"/>
          <w:b/>
          <w:color w:val="000000"/>
          <w:sz w:val="24"/>
          <w:szCs w:val="24"/>
          <w:shd w:val="clear" w:color="auto" w:fill="FFFFFF"/>
          <w:lang w:val="en-US"/>
        </w:rPr>
        <w:t>,</w:t>
      </w:r>
      <w:r w:rsidR="00032E39" w:rsidRPr="00FE3A75">
        <w:rPr>
          <w:rFonts w:ascii="Arial" w:hAnsi="Arial" w:cs="Arial"/>
          <w:b/>
          <w:color w:val="000000"/>
          <w:sz w:val="24"/>
          <w:szCs w:val="24"/>
          <w:shd w:val="clear" w:color="auto" w:fill="FFFFFF"/>
          <w:lang w:val="en-US"/>
        </w:rPr>
        <w:t xml:space="preserve"> PhD</w:t>
      </w:r>
      <w:r w:rsidR="00032E39" w:rsidRPr="00FE3A75">
        <w:rPr>
          <w:rFonts w:ascii="Arial" w:hAnsi="Arial" w:cs="Arial"/>
          <w:color w:val="000000"/>
          <w:sz w:val="24"/>
          <w:szCs w:val="24"/>
          <w:shd w:val="clear" w:color="auto" w:fill="FFFFFF"/>
          <w:lang w:val="en-US"/>
        </w:rPr>
        <w:t>,</w:t>
      </w:r>
      <w:r w:rsidR="00032E39" w:rsidRPr="005073CD">
        <w:rPr>
          <w:rFonts w:ascii="Arial" w:hAnsi="Arial" w:cs="Arial"/>
          <w:color w:val="000000"/>
          <w:sz w:val="24"/>
          <w:szCs w:val="24"/>
          <w:shd w:val="clear" w:color="auto" w:fill="FFFFFF"/>
          <w:lang w:val="en-US"/>
        </w:rPr>
        <w:t xml:space="preserve"> </w:t>
      </w:r>
      <w:r w:rsidR="00007D18" w:rsidRPr="0066387B">
        <w:rPr>
          <w:rFonts w:ascii="Arial" w:hAnsi="Arial" w:cs="Arial"/>
          <w:bCs/>
          <w:sz w:val="20"/>
          <w:szCs w:val="20"/>
          <w:lang w:val="en-US"/>
        </w:rPr>
        <w:t xml:space="preserve">Associate Professor of Medicine, 12 de </w:t>
      </w:r>
      <w:proofErr w:type="spellStart"/>
      <w:r w:rsidR="00007D18" w:rsidRPr="0066387B">
        <w:rPr>
          <w:rFonts w:ascii="Arial" w:hAnsi="Arial" w:cs="Arial"/>
          <w:bCs/>
          <w:sz w:val="20"/>
          <w:szCs w:val="20"/>
          <w:lang w:val="en-US"/>
        </w:rPr>
        <w:t>Octubre</w:t>
      </w:r>
      <w:proofErr w:type="spellEnd"/>
      <w:r w:rsidR="005D3C80" w:rsidRPr="0066387B">
        <w:rPr>
          <w:rFonts w:ascii="Arial" w:hAnsi="Arial" w:cs="Arial"/>
          <w:bCs/>
          <w:sz w:val="20"/>
          <w:szCs w:val="20"/>
          <w:lang w:val="en-US"/>
        </w:rPr>
        <w:t xml:space="preserve"> University Hospital</w:t>
      </w:r>
      <w:r w:rsidR="00007D18" w:rsidRPr="0066387B">
        <w:rPr>
          <w:rFonts w:ascii="Arial" w:hAnsi="Arial" w:cs="Arial"/>
          <w:bCs/>
          <w:sz w:val="20"/>
          <w:szCs w:val="20"/>
          <w:lang w:val="en-US"/>
        </w:rPr>
        <w:t xml:space="preserve">, </w:t>
      </w:r>
      <w:r w:rsidR="005D3C80" w:rsidRPr="0066387B">
        <w:rPr>
          <w:rFonts w:ascii="Arial" w:hAnsi="Arial" w:cs="Arial"/>
          <w:bCs/>
          <w:sz w:val="20"/>
          <w:szCs w:val="20"/>
          <w:lang w:val="en-US"/>
        </w:rPr>
        <w:t xml:space="preserve">School of </w:t>
      </w:r>
      <w:r w:rsidR="00007D18" w:rsidRPr="0066387B">
        <w:rPr>
          <w:rFonts w:ascii="Arial" w:hAnsi="Arial" w:cs="Arial"/>
          <w:bCs/>
          <w:sz w:val="20"/>
          <w:szCs w:val="20"/>
          <w:lang w:val="en-US"/>
        </w:rPr>
        <w:t xml:space="preserve">Medicine, </w:t>
      </w:r>
      <w:r w:rsidR="005D3C80" w:rsidRPr="0066387B">
        <w:rPr>
          <w:rFonts w:ascii="Arial" w:hAnsi="Arial" w:cs="Arial"/>
          <w:bCs/>
          <w:sz w:val="20"/>
          <w:szCs w:val="20"/>
          <w:lang w:val="en-US"/>
        </w:rPr>
        <w:t xml:space="preserve">Complutense </w:t>
      </w:r>
      <w:r w:rsidR="00007D18" w:rsidRPr="0066387B">
        <w:rPr>
          <w:rFonts w:ascii="Arial" w:hAnsi="Arial" w:cs="Arial"/>
          <w:bCs/>
          <w:sz w:val="20"/>
          <w:szCs w:val="20"/>
          <w:lang w:val="en-US"/>
        </w:rPr>
        <w:t>University</w:t>
      </w:r>
      <w:r w:rsidR="003A4B71" w:rsidRPr="0066387B">
        <w:rPr>
          <w:rFonts w:ascii="Arial" w:hAnsi="Arial" w:cs="Arial"/>
          <w:bCs/>
          <w:sz w:val="20"/>
          <w:szCs w:val="20"/>
          <w:lang w:val="en-US"/>
        </w:rPr>
        <w:t>,</w:t>
      </w:r>
      <w:r w:rsidR="00007D18" w:rsidRPr="0066387B">
        <w:rPr>
          <w:rFonts w:ascii="Arial" w:hAnsi="Arial" w:cs="Arial"/>
          <w:bCs/>
          <w:sz w:val="20"/>
          <w:szCs w:val="20"/>
          <w:lang w:val="en-US"/>
        </w:rPr>
        <w:t xml:space="preserve"> 28040 Madrid</w:t>
      </w:r>
      <w:r w:rsidR="003A4B71" w:rsidRPr="0066387B">
        <w:rPr>
          <w:rFonts w:ascii="Arial" w:hAnsi="Arial" w:cs="Arial"/>
          <w:bCs/>
          <w:sz w:val="20"/>
          <w:szCs w:val="20"/>
          <w:lang w:val="en-US"/>
        </w:rPr>
        <w:t xml:space="preserve">. </w:t>
      </w:r>
      <w:r w:rsidR="003A4B71" w:rsidRPr="0066387B">
        <w:rPr>
          <w:rFonts w:ascii="Arial" w:eastAsia="Times New Roman" w:hAnsi="Arial" w:cs="Arial"/>
          <w:noProof/>
          <w:sz w:val="20"/>
          <w:szCs w:val="20"/>
          <w:lang w:eastAsia="es-ES"/>
        </w:rPr>
        <w:drawing>
          <wp:inline distT="0" distB="0" distL="0" distR="0" wp14:anchorId="055A0DE4" wp14:editId="6AD390A2">
            <wp:extent cx="6350" cy="635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3A4B71" w:rsidRPr="0066387B">
        <w:rPr>
          <w:rFonts w:ascii="Arial" w:eastAsia="Times New Roman" w:hAnsi="Arial" w:cs="Arial"/>
          <w:sz w:val="20"/>
          <w:szCs w:val="20"/>
          <w:lang w:val="en-US" w:eastAsia="es-ES"/>
        </w:rPr>
        <w:t>mlibrizz@ucm.es</w:t>
      </w:r>
    </w:p>
    <w:p w14:paraId="6B796F71" w14:textId="32B66141" w:rsidR="000D5720" w:rsidRPr="005073CD" w:rsidRDefault="000D5720" w:rsidP="0066387B">
      <w:pPr>
        <w:spacing w:after="0"/>
        <w:rPr>
          <w:rFonts w:ascii="Arial" w:hAnsi="Arial" w:cs="Arial"/>
          <w:b/>
          <w:sz w:val="24"/>
          <w:szCs w:val="24"/>
          <w:lang w:val="en-US"/>
        </w:rPr>
      </w:pPr>
    </w:p>
    <w:p w14:paraId="3C5AD69A" w14:textId="247A36A2" w:rsidR="005073CD" w:rsidRPr="005F2054" w:rsidRDefault="0066387B" w:rsidP="005F2054">
      <w:pPr>
        <w:spacing w:after="0"/>
        <w:rPr>
          <w:rFonts w:ascii="Arial" w:hAnsi="Arial" w:cs="Arial"/>
          <w:b/>
          <w:lang w:val="en-US"/>
        </w:rPr>
      </w:pPr>
      <w:r w:rsidRPr="005F2054">
        <w:rPr>
          <w:rFonts w:ascii="Arial" w:hAnsi="Arial" w:cs="Arial"/>
          <w:b/>
          <w:lang w:val="en-US"/>
        </w:rPr>
        <w:t xml:space="preserve">Received </w:t>
      </w:r>
      <w:r w:rsidR="000C611A">
        <w:rPr>
          <w:rFonts w:ascii="Arial" w:hAnsi="Arial" w:cs="Arial"/>
          <w:b/>
          <w:lang w:val="en-US"/>
        </w:rPr>
        <w:t>May 5, 2025</w:t>
      </w:r>
    </w:p>
    <w:p w14:paraId="683D80A2" w14:textId="77777777" w:rsidR="005073CD" w:rsidRPr="005F2054" w:rsidRDefault="005073CD" w:rsidP="005F2054">
      <w:pPr>
        <w:spacing w:after="0"/>
        <w:rPr>
          <w:rFonts w:ascii="Arial" w:hAnsi="Arial" w:cs="Arial"/>
          <w:b/>
          <w:lang w:val="en-US"/>
        </w:rPr>
      </w:pPr>
    </w:p>
    <w:p w14:paraId="21AEDA77" w14:textId="311C1837" w:rsidR="00684E07" w:rsidRPr="005F2054" w:rsidRDefault="00684E07" w:rsidP="005F2054">
      <w:pPr>
        <w:spacing w:after="0"/>
        <w:contextualSpacing/>
        <w:rPr>
          <w:rFonts w:ascii="Arial" w:hAnsi="Arial" w:cs="Arial"/>
          <w:b/>
          <w:color w:val="1F497D" w:themeColor="text2"/>
          <w:lang w:val="en-US"/>
        </w:rPr>
      </w:pPr>
      <w:r w:rsidRPr="005F2054">
        <w:rPr>
          <w:rFonts w:ascii="Arial" w:hAnsi="Arial" w:cs="Arial"/>
          <w:b/>
          <w:color w:val="1F497D" w:themeColor="text2"/>
          <w:lang w:val="en-US"/>
        </w:rPr>
        <w:t>ABSTRACT</w:t>
      </w:r>
    </w:p>
    <w:p w14:paraId="2A92579A" w14:textId="77777777" w:rsidR="005F2054" w:rsidRDefault="005F2054" w:rsidP="005F2054">
      <w:pPr>
        <w:spacing w:after="0"/>
        <w:contextualSpacing/>
        <w:rPr>
          <w:rFonts w:ascii="Arial" w:hAnsi="Arial" w:cs="Arial"/>
          <w:bCs/>
          <w:lang w:val="en-US"/>
        </w:rPr>
      </w:pPr>
      <w:bookmarkStart w:id="2" w:name="_Hlk193190040"/>
    </w:p>
    <w:p w14:paraId="3CE89148" w14:textId="0D9934D0" w:rsidR="00D93578" w:rsidRPr="005F2054" w:rsidRDefault="00601520" w:rsidP="005F2054">
      <w:pPr>
        <w:spacing w:after="0"/>
        <w:contextualSpacing/>
        <w:rPr>
          <w:rFonts w:ascii="Arial" w:hAnsi="Arial" w:cs="Arial"/>
          <w:bCs/>
          <w:lang w:val="en-US"/>
        </w:rPr>
      </w:pPr>
      <w:r w:rsidRPr="005F2054">
        <w:rPr>
          <w:rFonts w:ascii="Arial" w:hAnsi="Arial" w:cs="Arial"/>
          <w:bCs/>
          <w:lang w:val="en-US"/>
        </w:rPr>
        <w:t xml:space="preserve">Organ transplantation </w:t>
      </w:r>
      <w:r w:rsidR="00B2211A" w:rsidRPr="005F2054">
        <w:rPr>
          <w:rFonts w:ascii="Arial" w:hAnsi="Arial" w:cs="Arial"/>
          <w:bCs/>
          <w:lang w:val="en-US"/>
        </w:rPr>
        <w:t xml:space="preserve">has become an established treatment for end-stage diseases, and in recent decades, survival rates have significantly improved. </w:t>
      </w:r>
      <w:r w:rsidR="00002757" w:rsidRPr="005F2054">
        <w:rPr>
          <w:rFonts w:ascii="Arial" w:hAnsi="Arial" w:cs="Arial"/>
          <w:bCs/>
          <w:lang w:val="en-US"/>
        </w:rPr>
        <w:t>This progress has made diagnosi</w:t>
      </w:r>
      <w:r w:rsidR="00820EDA" w:rsidRPr="005F2054">
        <w:rPr>
          <w:rFonts w:ascii="Arial" w:hAnsi="Arial" w:cs="Arial"/>
          <w:bCs/>
          <w:lang w:val="en-US"/>
        </w:rPr>
        <w:t xml:space="preserve">ng </w:t>
      </w:r>
      <w:r w:rsidR="00002757" w:rsidRPr="005F2054">
        <w:rPr>
          <w:rFonts w:ascii="Arial" w:hAnsi="Arial" w:cs="Arial"/>
          <w:bCs/>
          <w:lang w:val="en-US"/>
        </w:rPr>
        <w:t xml:space="preserve">osteoporosis and other complications essential for prevention, treatment, and enhancing the quality of life for </w:t>
      </w:r>
      <w:r w:rsidR="00C72486">
        <w:rPr>
          <w:rFonts w:ascii="Arial" w:hAnsi="Arial" w:cs="Arial"/>
          <w:bCs/>
          <w:lang w:val="en-US"/>
        </w:rPr>
        <w:t>transplant</w:t>
      </w:r>
      <w:r w:rsidR="00002757" w:rsidRPr="005F2054">
        <w:rPr>
          <w:rFonts w:ascii="Arial" w:hAnsi="Arial" w:cs="Arial"/>
          <w:bCs/>
          <w:lang w:val="en-US"/>
        </w:rPr>
        <w:t xml:space="preserve"> patients.</w:t>
      </w:r>
      <w:r w:rsidR="005F2054">
        <w:rPr>
          <w:rFonts w:ascii="Arial" w:hAnsi="Arial" w:cs="Arial"/>
          <w:bCs/>
          <w:lang w:val="en-US"/>
        </w:rPr>
        <w:t xml:space="preserve"> </w:t>
      </w:r>
      <w:r w:rsidR="00684E07" w:rsidRPr="005F2054">
        <w:rPr>
          <w:rFonts w:ascii="Arial" w:hAnsi="Arial" w:cs="Arial"/>
          <w:bCs/>
          <w:lang w:val="en-US"/>
        </w:rPr>
        <w:t xml:space="preserve">Patients who undergo solid organ transplantation </w:t>
      </w:r>
      <w:r w:rsidR="00AD19A9" w:rsidRPr="005F2054">
        <w:rPr>
          <w:rFonts w:ascii="Arial" w:hAnsi="Arial" w:cs="Arial"/>
          <w:bCs/>
          <w:lang w:val="en-US"/>
        </w:rPr>
        <w:t xml:space="preserve">often </w:t>
      </w:r>
      <w:r w:rsidR="00684E07" w:rsidRPr="005F2054">
        <w:rPr>
          <w:rFonts w:ascii="Arial" w:hAnsi="Arial" w:cs="Arial"/>
          <w:bCs/>
          <w:lang w:val="en-US"/>
        </w:rPr>
        <w:t>have risk factors for bone loss and fractures, and th</w:t>
      </w:r>
      <w:r w:rsidR="00AD19A9" w:rsidRPr="005F2054">
        <w:rPr>
          <w:rFonts w:ascii="Arial" w:hAnsi="Arial" w:cs="Arial"/>
          <w:bCs/>
          <w:lang w:val="en-US"/>
        </w:rPr>
        <w:t xml:space="preserve">ese risks can increase </w:t>
      </w:r>
      <w:r w:rsidR="00002757" w:rsidRPr="005F2054">
        <w:rPr>
          <w:rFonts w:ascii="Arial" w:hAnsi="Arial" w:cs="Arial"/>
          <w:bCs/>
          <w:lang w:val="en-US"/>
        </w:rPr>
        <w:t>after transplantation.</w:t>
      </w:r>
      <w:r w:rsidR="003B16CF" w:rsidRPr="005F2054">
        <w:rPr>
          <w:rFonts w:ascii="Arial" w:hAnsi="Arial" w:cs="Arial"/>
          <w:bCs/>
          <w:lang w:val="en-US"/>
        </w:rPr>
        <w:t xml:space="preserve"> </w:t>
      </w:r>
      <w:r w:rsidR="00B2368D" w:rsidRPr="005F2054">
        <w:rPr>
          <w:rFonts w:ascii="Arial" w:hAnsi="Arial" w:cs="Arial"/>
          <w:bCs/>
          <w:lang w:val="en-US"/>
        </w:rPr>
        <w:t xml:space="preserve">Post-transplant fractures have been identified as an independent risk factor for overall mortality in these patients. </w:t>
      </w:r>
      <w:r w:rsidR="005E1421" w:rsidRPr="005F2054">
        <w:rPr>
          <w:rFonts w:ascii="Arial" w:hAnsi="Arial" w:cs="Arial"/>
          <w:bCs/>
          <w:lang w:val="en-US"/>
        </w:rPr>
        <w:t>Preoperative</w:t>
      </w:r>
      <w:r w:rsidR="00B2368D" w:rsidRPr="005F2054">
        <w:rPr>
          <w:rFonts w:ascii="Arial" w:hAnsi="Arial" w:cs="Arial"/>
          <w:bCs/>
          <w:lang w:val="en-US"/>
        </w:rPr>
        <w:t xml:space="preserve"> low bone mass increases the likelihood of these complications. </w:t>
      </w:r>
      <w:r w:rsidR="00AF648E" w:rsidRPr="005F2054">
        <w:rPr>
          <w:rFonts w:ascii="Arial" w:hAnsi="Arial" w:cs="Arial"/>
          <w:bCs/>
          <w:lang w:val="en-US"/>
        </w:rPr>
        <w:t xml:space="preserve"> Osteoporosis is a significant concern that can develop, worsened by glucocorticoids and immunosuppressive therapy</w:t>
      </w:r>
      <w:r w:rsidR="00584759">
        <w:rPr>
          <w:rFonts w:ascii="Arial" w:hAnsi="Arial" w:cs="Arial"/>
          <w:bCs/>
          <w:lang w:val="en-US"/>
        </w:rPr>
        <w:t>,</w:t>
      </w:r>
      <w:r w:rsidR="00AF648E" w:rsidRPr="005F2054">
        <w:rPr>
          <w:rFonts w:ascii="Arial" w:hAnsi="Arial" w:cs="Arial"/>
          <w:bCs/>
          <w:lang w:val="en-US"/>
        </w:rPr>
        <w:t xml:space="preserve"> used after transplantation to prevent organ rejection. A major consequence of this is an elevated risk of fractures in bones with reduced strength and quality, leading to increased morbidity and mortality. Additionally, there are notable differences in bone loss and fracture rates among patients with different types of transplanted organs.</w:t>
      </w:r>
      <w:r w:rsidR="005F2054">
        <w:rPr>
          <w:rFonts w:ascii="Arial" w:hAnsi="Arial" w:cs="Arial"/>
          <w:bCs/>
          <w:lang w:val="en-US"/>
        </w:rPr>
        <w:t xml:space="preserve"> </w:t>
      </w:r>
      <w:r w:rsidR="00D93578" w:rsidRPr="005F2054">
        <w:rPr>
          <w:rFonts w:ascii="Arial" w:hAnsi="Arial" w:cs="Arial"/>
          <w:bCs/>
          <w:lang w:val="en-US"/>
        </w:rPr>
        <w:t xml:space="preserve">Initially, reports indicated that in the first year following transplantation, there was a rapid </w:t>
      </w:r>
      <w:r w:rsidR="00052505" w:rsidRPr="005F2054">
        <w:rPr>
          <w:rFonts w:ascii="Arial" w:hAnsi="Arial" w:cs="Arial"/>
          <w:bCs/>
          <w:lang w:val="en-US"/>
        </w:rPr>
        <w:t>loss of</w:t>
      </w:r>
      <w:r w:rsidR="00D93578" w:rsidRPr="005F2054">
        <w:rPr>
          <w:rFonts w:ascii="Arial" w:hAnsi="Arial" w:cs="Arial"/>
          <w:bCs/>
          <w:lang w:val="en-US"/>
        </w:rPr>
        <w:t xml:space="preserve"> bone mass and an increased rate of fractures. </w:t>
      </w:r>
      <w:r w:rsidR="00DD4F97" w:rsidRPr="005F2054">
        <w:rPr>
          <w:rFonts w:ascii="Arial" w:hAnsi="Arial" w:cs="Arial"/>
          <w:bCs/>
          <w:lang w:val="en-US"/>
        </w:rPr>
        <w:t xml:space="preserve">Unfortunately, </w:t>
      </w:r>
      <w:r w:rsidR="00B05034" w:rsidRPr="005F2054">
        <w:rPr>
          <w:rFonts w:ascii="Arial" w:hAnsi="Arial" w:cs="Arial"/>
          <w:bCs/>
          <w:lang w:val="en-US"/>
        </w:rPr>
        <w:t xml:space="preserve">bone mass achieved after transplantation remains </w:t>
      </w:r>
      <w:r w:rsidR="007857F6" w:rsidRPr="005F2054">
        <w:rPr>
          <w:rFonts w:ascii="Arial" w:hAnsi="Arial" w:cs="Arial"/>
          <w:bCs/>
          <w:lang w:val="en-US"/>
        </w:rPr>
        <w:t>lower long-term</w:t>
      </w:r>
      <w:r w:rsidR="00B05034" w:rsidRPr="005F2054">
        <w:rPr>
          <w:rFonts w:ascii="Arial" w:hAnsi="Arial" w:cs="Arial"/>
          <w:bCs/>
          <w:lang w:val="en-US"/>
        </w:rPr>
        <w:t xml:space="preserve"> compared to that of </w:t>
      </w:r>
      <w:r w:rsidR="00DD4F97" w:rsidRPr="005F2054">
        <w:rPr>
          <w:rFonts w:ascii="Arial" w:hAnsi="Arial" w:cs="Arial"/>
          <w:bCs/>
          <w:lang w:val="en-US"/>
        </w:rPr>
        <w:t xml:space="preserve">healthy </w:t>
      </w:r>
      <w:r w:rsidR="00B05034" w:rsidRPr="005F2054">
        <w:rPr>
          <w:rFonts w:ascii="Arial" w:hAnsi="Arial" w:cs="Arial"/>
          <w:bCs/>
          <w:lang w:val="en-US"/>
        </w:rPr>
        <w:t>individuals</w:t>
      </w:r>
      <w:r w:rsidR="00DD4F97" w:rsidRPr="005F2054">
        <w:rPr>
          <w:rFonts w:ascii="Arial" w:hAnsi="Arial" w:cs="Arial"/>
          <w:bCs/>
          <w:lang w:val="en-US"/>
        </w:rPr>
        <w:t xml:space="preserve">. </w:t>
      </w:r>
      <w:r w:rsidR="00D93578" w:rsidRPr="005F2054">
        <w:rPr>
          <w:rFonts w:ascii="Arial" w:hAnsi="Arial" w:cs="Arial"/>
          <w:bCs/>
          <w:lang w:val="en-US"/>
        </w:rPr>
        <w:t>Protocols involving</w:t>
      </w:r>
      <w:r w:rsidR="00821018" w:rsidRPr="005F2054">
        <w:rPr>
          <w:rFonts w:ascii="Arial" w:hAnsi="Arial" w:cs="Arial"/>
          <w:bCs/>
          <w:lang w:val="en-US"/>
        </w:rPr>
        <w:t xml:space="preserve"> less aggr</w:t>
      </w:r>
      <w:r w:rsidR="00D93578" w:rsidRPr="005F2054">
        <w:rPr>
          <w:rFonts w:ascii="Arial" w:hAnsi="Arial" w:cs="Arial"/>
          <w:bCs/>
          <w:lang w:val="en-US"/>
        </w:rPr>
        <w:t xml:space="preserve">essive </w:t>
      </w:r>
      <w:r w:rsidR="00821018" w:rsidRPr="005F2054">
        <w:rPr>
          <w:rFonts w:ascii="Arial" w:hAnsi="Arial" w:cs="Arial"/>
          <w:bCs/>
          <w:lang w:val="en-US"/>
        </w:rPr>
        <w:t xml:space="preserve">use of </w:t>
      </w:r>
      <w:r w:rsidR="00D93578" w:rsidRPr="005F2054">
        <w:rPr>
          <w:rFonts w:ascii="Arial" w:hAnsi="Arial" w:cs="Arial"/>
          <w:bCs/>
          <w:lang w:val="en-US"/>
        </w:rPr>
        <w:t>glucocorticoids and immunosuppress</w:t>
      </w:r>
      <w:r w:rsidR="00821018" w:rsidRPr="005F2054">
        <w:rPr>
          <w:rFonts w:ascii="Arial" w:hAnsi="Arial" w:cs="Arial"/>
          <w:bCs/>
          <w:lang w:val="en-US"/>
        </w:rPr>
        <w:t>ants have been introduced to reduce t</w:t>
      </w:r>
      <w:r w:rsidR="00C351D1" w:rsidRPr="005F2054">
        <w:rPr>
          <w:rFonts w:ascii="Arial" w:hAnsi="Arial" w:cs="Arial"/>
          <w:bCs/>
          <w:lang w:val="en-US"/>
        </w:rPr>
        <w:t>hese complications</w:t>
      </w:r>
      <w:r w:rsidR="00821018" w:rsidRPr="005F2054">
        <w:rPr>
          <w:rFonts w:ascii="Arial" w:hAnsi="Arial" w:cs="Arial"/>
          <w:bCs/>
          <w:lang w:val="en-US"/>
        </w:rPr>
        <w:t>,</w:t>
      </w:r>
      <w:r w:rsidR="00D93578" w:rsidRPr="005F2054">
        <w:rPr>
          <w:rFonts w:ascii="Arial" w:hAnsi="Arial" w:cs="Arial"/>
          <w:bCs/>
          <w:lang w:val="en-US"/>
        </w:rPr>
        <w:t xml:space="preserve"> a</w:t>
      </w:r>
      <w:r w:rsidR="00C351D1" w:rsidRPr="005F2054">
        <w:rPr>
          <w:rFonts w:ascii="Arial" w:hAnsi="Arial" w:cs="Arial"/>
          <w:bCs/>
          <w:lang w:val="en-US"/>
        </w:rPr>
        <w:t xml:space="preserve">long with </w:t>
      </w:r>
      <w:r w:rsidR="00821018" w:rsidRPr="005F2054">
        <w:rPr>
          <w:rFonts w:ascii="Arial" w:hAnsi="Arial" w:cs="Arial"/>
          <w:bCs/>
          <w:lang w:val="en-US"/>
        </w:rPr>
        <w:t xml:space="preserve">advancements in infection prevention and treatment, to improve the tolerability of treatments and long-term outcomes.  Another strategy has been to optimize bone mass in transplant candidates, administering </w:t>
      </w:r>
      <w:r w:rsidR="00D93578" w:rsidRPr="005F2054">
        <w:rPr>
          <w:rFonts w:ascii="Arial" w:hAnsi="Arial" w:cs="Arial"/>
          <w:bCs/>
          <w:lang w:val="en-US"/>
        </w:rPr>
        <w:t xml:space="preserve">calcium, vitamin D, and </w:t>
      </w:r>
      <w:r w:rsidR="00CD27DC" w:rsidRPr="005F2054">
        <w:rPr>
          <w:rFonts w:ascii="Arial" w:hAnsi="Arial" w:cs="Arial"/>
          <w:bCs/>
          <w:lang w:val="en-US"/>
        </w:rPr>
        <w:t xml:space="preserve">bisphosphonates </w:t>
      </w:r>
      <w:r w:rsidR="00821018" w:rsidRPr="005F2054">
        <w:rPr>
          <w:rFonts w:ascii="Arial" w:hAnsi="Arial" w:cs="Arial"/>
          <w:bCs/>
          <w:lang w:val="en-US"/>
        </w:rPr>
        <w:t xml:space="preserve">before surgery. </w:t>
      </w:r>
      <w:r w:rsidR="00D929DA" w:rsidRPr="005F2054">
        <w:rPr>
          <w:rFonts w:ascii="Arial" w:hAnsi="Arial" w:cs="Arial"/>
          <w:bCs/>
          <w:lang w:val="en-US"/>
        </w:rPr>
        <w:t xml:space="preserve">Therefore, the prevention and management of bone loss in </w:t>
      </w:r>
      <w:r w:rsidR="00CD27DC" w:rsidRPr="005F2054">
        <w:rPr>
          <w:rFonts w:ascii="Arial" w:hAnsi="Arial" w:cs="Arial"/>
          <w:bCs/>
          <w:lang w:val="en-US"/>
        </w:rPr>
        <w:t>both transplant candidates and p</w:t>
      </w:r>
      <w:r w:rsidR="00D929DA" w:rsidRPr="005F2054">
        <w:rPr>
          <w:rFonts w:ascii="Arial" w:hAnsi="Arial" w:cs="Arial"/>
          <w:bCs/>
          <w:lang w:val="en-US"/>
        </w:rPr>
        <w:t>ost-</w:t>
      </w:r>
      <w:r w:rsidR="00BF415E" w:rsidRPr="005F2054">
        <w:rPr>
          <w:rFonts w:ascii="Arial" w:hAnsi="Arial" w:cs="Arial"/>
          <w:bCs/>
          <w:lang w:val="en-US"/>
        </w:rPr>
        <w:t>transplant</w:t>
      </w:r>
      <w:r w:rsidR="00CD27DC" w:rsidRPr="005F2054">
        <w:rPr>
          <w:rFonts w:ascii="Arial" w:hAnsi="Arial" w:cs="Arial"/>
          <w:bCs/>
          <w:lang w:val="en-US"/>
        </w:rPr>
        <w:t xml:space="preserve"> patients should be prioritized to</w:t>
      </w:r>
      <w:r w:rsidR="00D929DA" w:rsidRPr="005F2054">
        <w:rPr>
          <w:rFonts w:ascii="Arial" w:hAnsi="Arial" w:cs="Arial"/>
          <w:bCs/>
          <w:lang w:val="en-US"/>
        </w:rPr>
        <w:t xml:space="preserve"> reduce the risk of fractures.</w:t>
      </w:r>
      <w:r w:rsidR="00CA6C95" w:rsidRPr="005F2054">
        <w:rPr>
          <w:rFonts w:ascii="Arial" w:hAnsi="Arial" w:cs="Arial"/>
          <w:bCs/>
          <w:lang w:val="en-US"/>
        </w:rPr>
        <w:t xml:space="preserve"> </w:t>
      </w:r>
    </w:p>
    <w:bookmarkEnd w:id="2"/>
    <w:p w14:paraId="315EED3D" w14:textId="77777777" w:rsidR="00684E07" w:rsidRPr="005F2054" w:rsidRDefault="00684E07" w:rsidP="005F2054">
      <w:pPr>
        <w:spacing w:after="0"/>
        <w:contextualSpacing/>
        <w:rPr>
          <w:rFonts w:ascii="Arial" w:hAnsi="Arial" w:cs="Arial"/>
          <w:bCs/>
          <w:lang w:val="en-US"/>
        </w:rPr>
      </w:pPr>
    </w:p>
    <w:p w14:paraId="523115C0" w14:textId="5BA6EEA7" w:rsidR="001200F9" w:rsidRPr="005F2054" w:rsidRDefault="00C30DB6" w:rsidP="005F2054">
      <w:pPr>
        <w:spacing w:after="0"/>
        <w:contextualSpacing/>
        <w:rPr>
          <w:rFonts w:ascii="Arial" w:hAnsi="Arial" w:cs="Arial"/>
          <w:b/>
          <w:color w:val="1F497D" w:themeColor="text2"/>
          <w:lang w:val="en-US"/>
        </w:rPr>
      </w:pPr>
      <w:r w:rsidRPr="005F2054">
        <w:rPr>
          <w:rFonts w:ascii="Arial" w:hAnsi="Arial" w:cs="Arial"/>
          <w:b/>
          <w:color w:val="1F497D" w:themeColor="text2"/>
          <w:lang w:val="en-US"/>
        </w:rPr>
        <w:t>INTRODUCTION</w:t>
      </w:r>
    </w:p>
    <w:p w14:paraId="2C79019C" w14:textId="77777777" w:rsidR="005357DD" w:rsidRDefault="005357DD" w:rsidP="005F2054">
      <w:pPr>
        <w:spacing w:after="0"/>
        <w:contextualSpacing/>
        <w:rPr>
          <w:rFonts w:ascii="Arial" w:hAnsi="Arial" w:cs="Arial"/>
          <w:lang w:val="en-US"/>
        </w:rPr>
      </w:pPr>
    </w:p>
    <w:p w14:paraId="18A9FE3A" w14:textId="1725B142" w:rsidR="001F60FC" w:rsidRPr="005F2054" w:rsidRDefault="001200F9" w:rsidP="005F2054">
      <w:pPr>
        <w:spacing w:after="0"/>
        <w:contextualSpacing/>
        <w:rPr>
          <w:rFonts w:ascii="Arial" w:hAnsi="Arial" w:cs="Arial"/>
          <w:lang w:val="en-GB"/>
        </w:rPr>
      </w:pPr>
      <w:r w:rsidRPr="005F2054">
        <w:rPr>
          <w:rFonts w:ascii="Arial" w:hAnsi="Arial" w:cs="Arial"/>
          <w:lang w:val="en-US"/>
        </w:rPr>
        <w:t>Organ transplantation</w:t>
      </w:r>
      <w:r w:rsidRPr="005F2054">
        <w:rPr>
          <w:rFonts w:ascii="Arial" w:hAnsi="Arial" w:cs="Arial"/>
          <w:lang w:val="en-GB"/>
        </w:rPr>
        <w:t xml:space="preserve"> is a well</w:t>
      </w:r>
      <w:r w:rsidR="006C6B3B" w:rsidRPr="005F2054">
        <w:rPr>
          <w:rFonts w:ascii="Arial" w:hAnsi="Arial" w:cs="Arial"/>
          <w:lang w:val="en-GB"/>
        </w:rPr>
        <w:t>-</w:t>
      </w:r>
      <w:r w:rsidRPr="005F2054">
        <w:rPr>
          <w:rFonts w:ascii="Arial" w:hAnsi="Arial" w:cs="Arial"/>
          <w:lang w:val="en-GB"/>
        </w:rPr>
        <w:t xml:space="preserve">accepted procedure for </w:t>
      </w:r>
      <w:r w:rsidR="0017239E" w:rsidRPr="005F2054">
        <w:rPr>
          <w:rFonts w:ascii="Arial" w:hAnsi="Arial" w:cs="Arial"/>
          <w:lang w:val="en-GB"/>
        </w:rPr>
        <w:t>treating end-</w:t>
      </w:r>
      <w:r w:rsidRPr="005F2054">
        <w:rPr>
          <w:rFonts w:ascii="Arial" w:hAnsi="Arial" w:cs="Arial"/>
          <w:lang w:val="en-GB"/>
        </w:rPr>
        <w:t xml:space="preserve">stage diseases </w:t>
      </w:r>
      <w:r w:rsidR="0017239E" w:rsidRPr="005F2054">
        <w:rPr>
          <w:rFonts w:ascii="Arial" w:hAnsi="Arial" w:cs="Arial"/>
          <w:lang w:val="en-GB"/>
        </w:rPr>
        <w:t>such as kidney disease, chronic</w:t>
      </w:r>
      <w:r w:rsidRPr="005F2054">
        <w:rPr>
          <w:rFonts w:ascii="Arial" w:hAnsi="Arial" w:cs="Arial"/>
          <w:lang w:val="en-GB"/>
        </w:rPr>
        <w:t xml:space="preserve"> liver failure, end-stage pulmonary disease, </w:t>
      </w:r>
      <w:r w:rsidR="0017239E" w:rsidRPr="005F2054">
        <w:rPr>
          <w:rFonts w:ascii="Arial" w:hAnsi="Arial" w:cs="Arial"/>
          <w:lang w:val="en-GB"/>
        </w:rPr>
        <w:t xml:space="preserve">and </w:t>
      </w:r>
      <w:r w:rsidRPr="005F2054">
        <w:rPr>
          <w:rFonts w:ascii="Arial" w:hAnsi="Arial" w:cs="Arial"/>
          <w:lang w:val="en-GB"/>
        </w:rPr>
        <w:t>heart failure.</w:t>
      </w:r>
      <w:r w:rsidR="0017239E" w:rsidRPr="005F2054">
        <w:rPr>
          <w:rFonts w:ascii="Arial" w:hAnsi="Arial" w:cs="Arial"/>
          <w:lang w:val="en-GB"/>
        </w:rPr>
        <w:t xml:space="preserve"> Over the past decade, advancements in </w:t>
      </w:r>
      <w:r w:rsidR="002D740D" w:rsidRPr="005F2054">
        <w:rPr>
          <w:rFonts w:ascii="Arial" w:hAnsi="Arial" w:cs="Arial"/>
          <w:lang w:val="en-GB"/>
        </w:rPr>
        <w:t xml:space="preserve">this technique </w:t>
      </w:r>
      <w:r w:rsidR="0017239E" w:rsidRPr="005F2054">
        <w:rPr>
          <w:rFonts w:ascii="Arial" w:hAnsi="Arial" w:cs="Arial"/>
          <w:lang w:val="en-GB"/>
        </w:rPr>
        <w:t>have</w:t>
      </w:r>
      <w:r w:rsidR="002D740D" w:rsidRPr="005F2054">
        <w:rPr>
          <w:rFonts w:ascii="Arial" w:hAnsi="Arial" w:cs="Arial"/>
          <w:lang w:val="en-GB"/>
        </w:rPr>
        <w:t xml:space="preserve"> </w:t>
      </w:r>
      <w:r w:rsidR="0017239E" w:rsidRPr="005F2054">
        <w:rPr>
          <w:rFonts w:ascii="Arial" w:hAnsi="Arial" w:cs="Arial"/>
          <w:lang w:val="en-GB"/>
        </w:rPr>
        <w:t xml:space="preserve">significantly improved patient </w:t>
      </w:r>
      <w:r w:rsidR="00D658C8" w:rsidRPr="005F2054">
        <w:rPr>
          <w:rFonts w:ascii="Arial" w:hAnsi="Arial" w:cs="Arial"/>
          <w:lang w:val="en-GB"/>
        </w:rPr>
        <w:t xml:space="preserve">survival and quality of life. The number of transplants has </w:t>
      </w:r>
      <w:r w:rsidR="00252455" w:rsidRPr="005F2054">
        <w:rPr>
          <w:rFonts w:ascii="Arial" w:hAnsi="Arial" w:cs="Arial"/>
          <w:lang w:val="en-GB"/>
        </w:rPr>
        <w:t xml:space="preserve">steadily </w:t>
      </w:r>
      <w:r w:rsidR="0017239E" w:rsidRPr="005F2054">
        <w:rPr>
          <w:rFonts w:ascii="Arial" w:hAnsi="Arial" w:cs="Arial"/>
          <w:lang w:val="en-GB"/>
        </w:rPr>
        <w:t>increased, rising f</w:t>
      </w:r>
      <w:r w:rsidR="00D658C8" w:rsidRPr="005F2054">
        <w:rPr>
          <w:rFonts w:ascii="Arial" w:hAnsi="Arial" w:cs="Arial"/>
          <w:lang w:val="en-GB"/>
        </w:rPr>
        <w:t>rom 106</w:t>
      </w:r>
      <w:r w:rsidR="00322AB5">
        <w:rPr>
          <w:rFonts w:ascii="Arial" w:hAnsi="Arial" w:cs="Arial"/>
          <w:lang w:val="en-GB"/>
        </w:rPr>
        <w:t>,</w:t>
      </w:r>
      <w:r w:rsidR="00D658C8" w:rsidRPr="005F2054">
        <w:rPr>
          <w:rFonts w:ascii="Arial" w:hAnsi="Arial" w:cs="Arial"/>
          <w:lang w:val="en-GB"/>
        </w:rPr>
        <w:t xml:space="preserve">879 </w:t>
      </w:r>
      <w:r w:rsidR="0017239E" w:rsidRPr="005F2054">
        <w:rPr>
          <w:rFonts w:ascii="Arial" w:hAnsi="Arial" w:cs="Arial"/>
          <w:lang w:val="en-GB"/>
        </w:rPr>
        <w:t>in 2010</w:t>
      </w:r>
      <w:r w:rsidR="00D658C8" w:rsidRPr="005F2054">
        <w:rPr>
          <w:rFonts w:ascii="Arial" w:hAnsi="Arial" w:cs="Arial"/>
          <w:lang w:val="en-GB"/>
        </w:rPr>
        <w:t xml:space="preserve"> to 157</w:t>
      </w:r>
      <w:r w:rsidR="00322AB5">
        <w:rPr>
          <w:rFonts w:ascii="Arial" w:hAnsi="Arial" w:cs="Arial"/>
          <w:lang w:val="en-GB"/>
        </w:rPr>
        <w:t>,</w:t>
      </w:r>
      <w:r w:rsidR="00D658C8" w:rsidRPr="005F2054">
        <w:rPr>
          <w:rFonts w:ascii="Arial" w:hAnsi="Arial" w:cs="Arial"/>
          <w:lang w:val="en-GB"/>
        </w:rPr>
        <w:t xml:space="preserve">500 in </w:t>
      </w:r>
      <w:r w:rsidR="00D658C8" w:rsidRPr="005357DD">
        <w:rPr>
          <w:rFonts w:ascii="Arial" w:hAnsi="Arial" w:cs="Arial"/>
          <w:lang w:val="en-GB"/>
        </w:rPr>
        <w:t>2020 (1)</w:t>
      </w:r>
      <w:bookmarkStart w:id="3" w:name="_Hlk191915949"/>
      <w:r w:rsidR="00D658C8" w:rsidRPr="005357DD">
        <w:rPr>
          <w:rFonts w:ascii="Arial" w:hAnsi="Arial" w:cs="Arial"/>
          <w:lang w:val="en-GB"/>
        </w:rPr>
        <w:t xml:space="preserve">. </w:t>
      </w:r>
      <w:bookmarkEnd w:id="3"/>
      <w:r w:rsidR="00D658C8" w:rsidRPr="005357DD">
        <w:rPr>
          <w:rFonts w:ascii="Arial" w:hAnsi="Arial" w:cs="Arial"/>
          <w:lang w:val="en-GB"/>
        </w:rPr>
        <w:t>However</w:t>
      </w:r>
      <w:r w:rsidR="00D658C8" w:rsidRPr="005F2054">
        <w:rPr>
          <w:rFonts w:ascii="Arial" w:hAnsi="Arial" w:cs="Arial"/>
          <w:lang w:val="en-GB"/>
        </w:rPr>
        <w:t xml:space="preserve">, bone loss is a </w:t>
      </w:r>
      <w:r w:rsidR="0017239E" w:rsidRPr="005F2054">
        <w:rPr>
          <w:rFonts w:ascii="Arial" w:hAnsi="Arial" w:cs="Arial"/>
          <w:lang w:val="en-GB"/>
        </w:rPr>
        <w:t xml:space="preserve">common </w:t>
      </w:r>
      <w:r w:rsidR="00D658C8" w:rsidRPr="005F2054">
        <w:rPr>
          <w:rFonts w:ascii="Arial" w:hAnsi="Arial" w:cs="Arial"/>
          <w:lang w:val="en-GB"/>
        </w:rPr>
        <w:t>complication</w:t>
      </w:r>
      <w:r w:rsidR="001F60FC" w:rsidRPr="005F2054">
        <w:rPr>
          <w:rFonts w:ascii="Arial" w:hAnsi="Arial" w:cs="Arial"/>
          <w:lang w:val="en-GB"/>
        </w:rPr>
        <w:t xml:space="preserve"> </w:t>
      </w:r>
      <w:r w:rsidR="0071259C" w:rsidRPr="005F2054">
        <w:rPr>
          <w:rFonts w:ascii="Arial" w:hAnsi="Arial" w:cs="Arial"/>
          <w:lang w:val="en-GB"/>
        </w:rPr>
        <w:t>affecting long-term survival and quality of life during patient follow-up.</w:t>
      </w:r>
    </w:p>
    <w:p w14:paraId="19F03417" w14:textId="77777777" w:rsidR="005357DD" w:rsidRDefault="005357DD" w:rsidP="005F2054">
      <w:pPr>
        <w:spacing w:after="0"/>
        <w:contextualSpacing/>
        <w:rPr>
          <w:rFonts w:ascii="Arial" w:hAnsi="Arial" w:cs="Arial"/>
          <w:lang w:val="en-GB"/>
        </w:rPr>
      </w:pPr>
    </w:p>
    <w:p w14:paraId="4C8AAF44" w14:textId="2D4B9A5F" w:rsidR="000655F2" w:rsidRPr="00501D71" w:rsidRDefault="000655F2" w:rsidP="005F2054">
      <w:pPr>
        <w:spacing w:after="0"/>
        <w:contextualSpacing/>
        <w:rPr>
          <w:rFonts w:ascii="Arial" w:hAnsi="Arial" w:cs="Arial"/>
          <w:lang w:val="en-GB"/>
        </w:rPr>
      </w:pPr>
      <w:r w:rsidRPr="005F2054">
        <w:rPr>
          <w:rFonts w:ascii="Arial" w:hAnsi="Arial" w:cs="Arial"/>
          <w:lang w:val="en-GB"/>
        </w:rPr>
        <w:lastRenderedPageBreak/>
        <w:t xml:space="preserve">After transplantation, rapid and </w:t>
      </w:r>
      <w:r w:rsidR="0050359E" w:rsidRPr="005F2054">
        <w:rPr>
          <w:rFonts w:ascii="Arial" w:hAnsi="Arial" w:cs="Arial"/>
          <w:lang w:val="en-GB"/>
        </w:rPr>
        <w:t xml:space="preserve">significant </w:t>
      </w:r>
      <w:r w:rsidRPr="005F2054">
        <w:rPr>
          <w:rFonts w:ascii="Arial" w:hAnsi="Arial" w:cs="Arial"/>
          <w:lang w:val="en-GB"/>
        </w:rPr>
        <w:t xml:space="preserve">bone loss </w:t>
      </w:r>
      <w:r w:rsidR="00BB2418" w:rsidRPr="005F2054">
        <w:rPr>
          <w:rFonts w:ascii="Arial" w:hAnsi="Arial" w:cs="Arial"/>
          <w:lang w:val="en-GB"/>
        </w:rPr>
        <w:t xml:space="preserve">can </w:t>
      </w:r>
      <w:r w:rsidR="0071259C" w:rsidRPr="005F2054">
        <w:rPr>
          <w:rFonts w:ascii="Arial" w:hAnsi="Arial" w:cs="Arial"/>
          <w:lang w:val="en-GB"/>
        </w:rPr>
        <w:t xml:space="preserve">occur </w:t>
      </w:r>
      <w:r w:rsidR="0050359E" w:rsidRPr="005F2054">
        <w:rPr>
          <w:rFonts w:ascii="Arial" w:hAnsi="Arial" w:cs="Arial"/>
          <w:lang w:val="en-GB"/>
        </w:rPr>
        <w:t xml:space="preserve">within </w:t>
      </w:r>
      <w:r w:rsidR="004060F4" w:rsidRPr="005F2054">
        <w:rPr>
          <w:rFonts w:ascii="Arial" w:hAnsi="Arial" w:cs="Arial"/>
          <w:lang w:val="en-GB"/>
        </w:rPr>
        <w:t xml:space="preserve">the first 3-6 </w:t>
      </w:r>
      <w:r w:rsidR="00B14822" w:rsidRPr="005F2054">
        <w:rPr>
          <w:rFonts w:ascii="Arial" w:hAnsi="Arial" w:cs="Arial"/>
          <w:lang w:val="en-GB"/>
        </w:rPr>
        <w:t xml:space="preserve">months, </w:t>
      </w:r>
      <w:r w:rsidR="0071259C" w:rsidRPr="005F2054">
        <w:rPr>
          <w:rFonts w:ascii="Arial" w:hAnsi="Arial" w:cs="Arial"/>
          <w:lang w:val="en-GB"/>
        </w:rPr>
        <w:t xml:space="preserve">along with </w:t>
      </w:r>
      <w:r w:rsidR="0012775F" w:rsidRPr="005F2054">
        <w:rPr>
          <w:rFonts w:ascii="Arial" w:hAnsi="Arial" w:cs="Arial"/>
          <w:lang w:val="en-GB"/>
        </w:rPr>
        <w:t xml:space="preserve">a </w:t>
      </w:r>
      <w:r w:rsidR="0050359E" w:rsidRPr="005F2054">
        <w:rPr>
          <w:rFonts w:ascii="Arial" w:hAnsi="Arial" w:cs="Arial"/>
          <w:lang w:val="en-GB"/>
        </w:rPr>
        <w:t xml:space="preserve">substantial </w:t>
      </w:r>
      <w:r w:rsidR="0012775F" w:rsidRPr="005F2054">
        <w:rPr>
          <w:rFonts w:ascii="Arial" w:hAnsi="Arial" w:cs="Arial"/>
          <w:lang w:val="en-GB"/>
        </w:rPr>
        <w:t xml:space="preserve">increase in fracture </w:t>
      </w:r>
      <w:r w:rsidR="0012775F" w:rsidRPr="00501D71">
        <w:rPr>
          <w:rFonts w:ascii="Arial" w:hAnsi="Arial" w:cs="Arial"/>
          <w:lang w:val="en-GB"/>
        </w:rPr>
        <w:t xml:space="preserve">risk </w:t>
      </w:r>
      <w:r w:rsidR="00D658C8" w:rsidRPr="00501D71">
        <w:rPr>
          <w:rFonts w:ascii="Arial" w:hAnsi="Arial" w:cs="Arial"/>
          <w:lang w:val="en-GB"/>
        </w:rPr>
        <w:t>(2</w:t>
      </w:r>
      <w:r w:rsidR="00FB73F2" w:rsidRPr="00501D71">
        <w:rPr>
          <w:rFonts w:ascii="Arial" w:hAnsi="Arial" w:cs="Arial"/>
          <w:lang w:val="en-GB"/>
        </w:rPr>
        <w:t>,3</w:t>
      </w:r>
      <w:r w:rsidR="00D658C8" w:rsidRPr="00501D71">
        <w:rPr>
          <w:rFonts w:ascii="Arial" w:hAnsi="Arial" w:cs="Arial"/>
          <w:lang w:val="en-GB"/>
        </w:rPr>
        <w:t>)</w:t>
      </w:r>
      <w:r w:rsidR="00FB73F2" w:rsidRPr="00501D71">
        <w:rPr>
          <w:rFonts w:ascii="Arial" w:hAnsi="Arial" w:cs="Arial"/>
          <w:lang w:val="en-GB"/>
        </w:rPr>
        <w:t>.</w:t>
      </w:r>
      <w:r w:rsidRPr="00501D71">
        <w:rPr>
          <w:rFonts w:ascii="Arial" w:hAnsi="Arial" w:cs="Arial"/>
          <w:lang w:val="en-GB"/>
        </w:rPr>
        <w:t xml:space="preserve"> The</w:t>
      </w:r>
      <w:r w:rsidR="0050359E" w:rsidRPr="00501D71">
        <w:rPr>
          <w:rFonts w:ascii="Arial" w:hAnsi="Arial" w:cs="Arial"/>
          <w:lang w:val="en-GB"/>
        </w:rPr>
        <w:t xml:space="preserve"> </w:t>
      </w:r>
      <w:r w:rsidR="0050359E" w:rsidRPr="005F2054">
        <w:rPr>
          <w:rFonts w:ascii="Arial" w:hAnsi="Arial" w:cs="Arial"/>
          <w:lang w:val="en-GB"/>
        </w:rPr>
        <w:t xml:space="preserve">rapid rate of bone loss </w:t>
      </w:r>
      <w:r w:rsidR="00F522E7">
        <w:rPr>
          <w:rFonts w:ascii="Arial" w:hAnsi="Arial" w:cs="Arial"/>
          <w:lang w:val="en-GB"/>
        </w:rPr>
        <w:t xml:space="preserve">is likely due to </w:t>
      </w:r>
      <w:r w:rsidR="0050359E" w:rsidRPr="005F2054">
        <w:rPr>
          <w:rFonts w:ascii="Arial" w:hAnsi="Arial" w:cs="Arial"/>
          <w:lang w:val="en-GB"/>
        </w:rPr>
        <w:t>corticosteroids.</w:t>
      </w:r>
      <w:r w:rsidR="00F522E7">
        <w:rPr>
          <w:rFonts w:ascii="Arial" w:hAnsi="Arial" w:cs="Arial"/>
          <w:lang w:val="en-GB"/>
        </w:rPr>
        <w:t xml:space="preserve"> </w:t>
      </w:r>
      <w:r w:rsidR="00E314CE" w:rsidRPr="005F2054">
        <w:rPr>
          <w:rFonts w:ascii="Arial" w:hAnsi="Arial" w:cs="Arial"/>
          <w:lang w:val="en-GB"/>
        </w:rPr>
        <w:t>Greater</w:t>
      </w:r>
      <w:r w:rsidR="00B14822" w:rsidRPr="005F2054">
        <w:rPr>
          <w:rFonts w:ascii="Arial" w:hAnsi="Arial" w:cs="Arial"/>
          <w:lang w:val="en-GB"/>
        </w:rPr>
        <w:t xml:space="preserve"> </w:t>
      </w:r>
      <w:r w:rsidRPr="005F2054">
        <w:rPr>
          <w:rFonts w:ascii="Arial" w:hAnsi="Arial" w:cs="Arial"/>
          <w:lang w:val="en-GB"/>
        </w:rPr>
        <w:t xml:space="preserve">bone loss </w:t>
      </w:r>
      <w:r w:rsidR="00B14822" w:rsidRPr="005F2054">
        <w:rPr>
          <w:rFonts w:ascii="Arial" w:hAnsi="Arial" w:cs="Arial"/>
          <w:lang w:val="en-GB"/>
        </w:rPr>
        <w:t xml:space="preserve">has been reported at </w:t>
      </w:r>
      <w:r w:rsidRPr="005F2054">
        <w:rPr>
          <w:rFonts w:ascii="Arial" w:hAnsi="Arial" w:cs="Arial"/>
          <w:lang w:val="en-GB"/>
        </w:rPr>
        <w:t>vertebral and hip sites</w:t>
      </w:r>
      <w:r w:rsidR="00B14822" w:rsidRPr="005F2054">
        <w:rPr>
          <w:rFonts w:ascii="Arial" w:hAnsi="Arial" w:cs="Arial"/>
          <w:lang w:val="en-GB"/>
        </w:rPr>
        <w:t>, along with high</w:t>
      </w:r>
      <w:r w:rsidRPr="005F2054">
        <w:rPr>
          <w:rFonts w:ascii="Arial" w:hAnsi="Arial" w:cs="Arial"/>
          <w:lang w:val="en-GB"/>
        </w:rPr>
        <w:t xml:space="preserve"> rates of fragility fractures</w:t>
      </w:r>
      <w:r w:rsidR="00B14822" w:rsidRPr="005F2054">
        <w:rPr>
          <w:rFonts w:ascii="Arial" w:hAnsi="Arial" w:cs="Arial"/>
          <w:lang w:val="en-GB"/>
        </w:rPr>
        <w:t>.</w:t>
      </w:r>
      <w:r w:rsidR="00315B6F" w:rsidRPr="005F2054">
        <w:rPr>
          <w:rFonts w:ascii="Arial" w:hAnsi="Arial" w:cs="Arial"/>
          <w:lang w:val="en-GB"/>
        </w:rPr>
        <w:t xml:space="preserve"> </w:t>
      </w:r>
      <w:r w:rsidR="004744D7" w:rsidRPr="005F2054">
        <w:rPr>
          <w:rFonts w:ascii="Arial" w:hAnsi="Arial" w:cs="Arial"/>
          <w:lang w:val="en-GB"/>
        </w:rPr>
        <w:t>Over</w:t>
      </w:r>
      <w:r w:rsidR="00C70F2B" w:rsidRPr="005F2054">
        <w:rPr>
          <w:rFonts w:ascii="Arial" w:hAnsi="Arial" w:cs="Arial"/>
          <w:lang w:val="en-GB"/>
        </w:rPr>
        <w:t xml:space="preserve"> half of transplanted patients </w:t>
      </w:r>
      <w:r w:rsidR="00B14822" w:rsidRPr="005F2054">
        <w:rPr>
          <w:rFonts w:ascii="Arial" w:hAnsi="Arial" w:cs="Arial"/>
          <w:lang w:val="en-GB"/>
        </w:rPr>
        <w:t>develop o</w:t>
      </w:r>
      <w:r w:rsidR="00C70F2B" w:rsidRPr="005F2054">
        <w:rPr>
          <w:rFonts w:ascii="Arial" w:hAnsi="Arial" w:cs="Arial"/>
          <w:lang w:val="en-GB"/>
        </w:rPr>
        <w:t xml:space="preserve">steoporosis </w:t>
      </w:r>
      <w:r w:rsidR="00B14822" w:rsidRPr="005F2054">
        <w:rPr>
          <w:rFonts w:ascii="Arial" w:hAnsi="Arial" w:cs="Arial"/>
          <w:lang w:val="en-GB"/>
        </w:rPr>
        <w:t xml:space="preserve">and </w:t>
      </w:r>
      <w:r w:rsidR="004744D7" w:rsidRPr="005F2054">
        <w:rPr>
          <w:rFonts w:ascii="Arial" w:hAnsi="Arial" w:cs="Arial"/>
          <w:lang w:val="en-GB"/>
        </w:rPr>
        <w:t>one-third</w:t>
      </w:r>
      <w:r w:rsidR="00B14822" w:rsidRPr="005F2054">
        <w:rPr>
          <w:rFonts w:ascii="Arial" w:hAnsi="Arial" w:cs="Arial"/>
          <w:lang w:val="en-GB"/>
        </w:rPr>
        <w:t xml:space="preserve"> experience </w:t>
      </w:r>
      <w:r w:rsidR="003B4C50" w:rsidRPr="005F2054">
        <w:rPr>
          <w:rFonts w:ascii="Arial" w:hAnsi="Arial" w:cs="Arial"/>
          <w:lang w:val="en-GB"/>
        </w:rPr>
        <w:t>vertebral fracture</w:t>
      </w:r>
      <w:r w:rsidR="00F522E7">
        <w:rPr>
          <w:rFonts w:ascii="Arial" w:hAnsi="Arial" w:cs="Arial"/>
          <w:lang w:val="en-GB"/>
        </w:rPr>
        <w:t>s</w:t>
      </w:r>
      <w:r w:rsidR="003B4C50" w:rsidRPr="005F2054">
        <w:rPr>
          <w:rFonts w:ascii="Arial" w:hAnsi="Arial" w:cs="Arial"/>
          <w:lang w:val="en-GB"/>
        </w:rPr>
        <w:t xml:space="preserve"> (4)</w:t>
      </w:r>
      <w:r w:rsidR="00C70F2B" w:rsidRPr="005F2054">
        <w:rPr>
          <w:rFonts w:ascii="Arial" w:hAnsi="Arial" w:cs="Arial"/>
          <w:lang w:val="en-GB"/>
        </w:rPr>
        <w:t xml:space="preserve">. </w:t>
      </w:r>
      <w:r w:rsidR="00CC0DB0" w:rsidRPr="005F2054">
        <w:rPr>
          <w:rFonts w:ascii="Arial" w:hAnsi="Arial" w:cs="Arial"/>
          <w:lang w:val="en-GB"/>
        </w:rPr>
        <w:t xml:space="preserve">However, recent studies </w:t>
      </w:r>
      <w:r w:rsidR="004D5E05" w:rsidRPr="005F2054">
        <w:rPr>
          <w:rFonts w:ascii="Arial" w:hAnsi="Arial" w:cs="Arial"/>
          <w:lang w:val="en-GB"/>
        </w:rPr>
        <w:t>show</w:t>
      </w:r>
      <w:r w:rsidR="00B14822" w:rsidRPr="005F2054">
        <w:rPr>
          <w:rFonts w:ascii="Arial" w:hAnsi="Arial" w:cs="Arial"/>
          <w:lang w:val="en-GB"/>
        </w:rPr>
        <w:t xml:space="preserve"> a lower </w:t>
      </w:r>
      <w:r w:rsidR="00D13546" w:rsidRPr="005F2054">
        <w:rPr>
          <w:rFonts w:ascii="Arial" w:hAnsi="Arial" w:cs="Arial"/>
          <w:lang w:val="en-GB"/>
        </w:rPr>
        <w:t xml:space="preserve">rate of </w:t>
      </w:r>
      <w:r w:rsidR="00F256F1" w:rsidRPr="005F2054">
        <w:rPr>
          <w:rFonts w:ascii="Arial" w:hAnsi="Arial" w:cs="Arial"/>
          <w:lang w:val="en-GB"/>
        </w:rPr>
        <w:t xml:space="preserve">bone loss and </w:t>
      </w:r>
      <w:r w:rsidR="00D13546" w:rsidRPr="005F2054">
        <w:rPr>
          <w:rFonts w:ascii="Arial" w:hAnsi="Arial" w:cs="Arial"/>
          <w:lang w:val="en-GB"/>
        </w:rPr>
        <w:t xml:space="preserve">fractures </w:t>
      </w:r>
      <w:r w:rsidR="00B14822" w:rsidRPr="005F2054">
        <w:rPr>
          <w:rFonts w:ascii="Arial" w:hAnsi="Arial" w:cs="Arial"/>
          <w:lang w:val="en-GB"/>
        </w:rPr>
        <w:t>following</w:t>
      </w:r>
      <w:r w:rsidR="00F522E7">
        <w:rPr>
          <w:rFonts w:ascii="Arial" w:hAnsi="Arial" w:cs="Arial"/>
          <w:lang w:val="en-GB"/>
        </w:rPr>
        <w:t xml:space="preserve"> transplants</w:t>
      </w:r>
      <w:r w:rsidR="00B14822" w:rsidRPr="005F2054">
        <w:rPr>
          <w:rFonts w:ascii="Arial" w:hAnsi="Arial" w:cs="Arial"/>
          <w:lang w:val="en-GB"/>
        </w:rPr>
        <w:t>, likely due to reduced</w:t>
      </w:r>
      <w:r w:rsidR="00D13546" w:rsidRPr="005F2054">
        <w:rPr>
          <w:rFonts w:ascii="Arial" w:hAnsi="Arial" w:cs="Arial"/>
          <w:lang w:val="en-GB"/>
        </w:rPr>
        <w:t xml:space="preserve"> gluc</w:t>
      </w:r>
      <w:r w:rsidR="006C6B3B" w:rsidRPr="005F2054">
        <w:rPr>
          <w:rFonts w:ascii="Arial" w:hAnsi="Arial" w:cs="Arial"/>
          <w:lang w:val="en-GB"/>
        </w:rPr>
        <w:t>o</w:t>
      </w:r>
      <w:r w:rsidR="00D13546" w:rsidRPr="005F2054">
        <w:rPr>
          <w:rFonts w:ascii="Arial" w:hAnsi="Arial" w:cs="Arial"/>
          <w:lang w:val="en-GB"/>
        </w:rPr>
        <w:t xml:space="preserve">corticoid doses and </w:t>
      </w:r>
      <w:r w:rsidR="00B14822" w:rsidRPr="005F2054">
        <w:rPr>
          <w:rFonts w:ascii="Arial" w:hAnsi="Arial" w:cs="Arial"/>
          <w:lang w:val="en-GB"/>
        </w:rPr>
        <w:t>modifications in</w:t>
      </w:r>
      <w:r w:rsidR="00D13546" w:rsidRPr="005F2054">
        <w:rPr>
          <w:rFonts w:ascii="Arial" w:hAnsi="Arial" w:cs="Arial"/>
          <w:lang w:val="en-GB"/>
        </w:rPr>
        <w:t xml:space="preserve"> immunosuppression </w:t>
      </w:r>
      <w:r w:rsidR="00D13546" w:rsidRPr="00501D71">
        <w:rPr>
          <w:rFonts w:ascii="Arial" w:hAnsi="Arial" w:cs="Arial"/>
          <w:lang w:val="en-GB"/>
        </w:rPr>
        <w:t>regimens (</w:t>
      </w:r>
      <w:r w:rsidR="00FB73F2" w:rsidRPr="00501D71">
        <w:rPr>
          <w:rFonts w:ascii="Arial" w:hAnsi="Arial" w:cs="Arial"/>
          <w:lang w:val="en-GB"/>
        </w:rPr>
        <w:t>5,6</w:t>
      </w:r>
      <w:r w:rsidR="00D13546" w:rsidRPr="00501D71">
        <w:rPr>
          <w:rFonts w:ascii="Arial" w:hAnsi="Arial" w:cs="Arial"/>
          <w:lang w:val="en-GB"/>
        </w:rPr>
        <w:t xml:space="preserve">). </w:t>
      </w:r>
    </w:p>
    <w:p w14:paraId="6CB21BC2" w14:textId="77777777" w:rsidR="00501D71" w:rsidRPr="005F2054" w:rsidRDefault="00501D71" w:rsidP="005F2054">
      <w:pPr>
        <w:spacing w:after="0"/>
        <w:contextualSpacing/>
        <w:rPr>
          <w:rFonts w:ascii="Arial" w:hAnsi="Arial" w:cs="Arial"/>
          <w:lang w:val="en-GB"/>
        </w:rPr>
      </w:pPr>
    </w:p>
    <w:p w14:paraId="7F72A661" w14:textId="486DFE50" w:rsidR="000655F2" w:rsidRDefault="003F0D81" w:rsidP="005F2054">
      <w:pPr>
        <w:spacing w:after="0"/>
        <w:contextualSpacing/>
        <w:rPr>
          <w:rFonts w:ascii="Arial" w:hAnsi="Arial" w:cs="Arial"/>
          <w:lang w:val="en-GB"/>
        </w:rPr>
      </w:pPr>
      <w:r w:rsidRPr="005F2054">
        <w:rPr>
          <w:rFonts w:ascii="Arial" w:hAnsi="Arial" w:cs="Arial"/>
          <w:lang w:val="en-GB"/>
        </w:rPr>
        <w:t>S</w:t>
      </w:r>
      <w:r w:rsidR="006C6B3B" w:rsidRPr="005F2054">
        <w:rPr>
          <w:rFonts w:ascii="Arial" w:hAnsi="Arial" w:cs="Arial"/>
          <w:lang w:val="en-GB"/>
        </w:rPr>
        <w:t>everal</w:t>
      </w:r>
      <w:r w:rsidR="000655F2" w:rsidRPr="005F2054">
        <w:rPr>
          <w:rFonts w:ascii="Arial" w:hAnsi="Arial" w:cs="Arial"/>
          <w:lang w:val="en-GB"/>
        </w:rPr>
        <w:t xml:space="preserve"> risk factors </w:t>
      </w:r>
      <w:r w:rsidRPr="005F2054">
        <w:rPr>
          <w:rFonts w:ascii="Arial" w:hAnsi="Arial" w:cs="Arial"/>
          <w:lang w:val="en-GB"/>
        </w:rPr>
        <w:t>contribute</w:t>
      </w:r>
      <w:r w:rsidR="000655F2" w:rsidRPr="005F2054">
        <w:rPr>
          <w:rFonts w:ascii="Arial" w:hAnsi="Arial" w:cs="Arial"/>
          <w:lang w:val="en-GB"/>
        </w:rPr>
        <w:t xml:space="preserve"> to bone loss in patients</w:t>
      </w:r>
      <w:r w:rsidRPr="005F2054">
        <w:rPr>
          <w:rFonts w:ascii="Arial" w:hAnsi="Arial" w:cs="Arial"/>
          <w:lang w:val="en-GB"/>
        </w:rPr>
        <w:t xml:space="preserve"> including </w:t>
      </w:r>
      <w:r w:rsidR="007E1876" w:rsidRPr="005F2054">
        <w:rPr>
          <w:rFonts w:ascii="Arial" w:hAnsi="Arial" w:cs="Arial"/>
          <w:lang w:val="en-GB"/>
        </w:rPr>
        <w:t xml:space="preserve">pretransplant disease, aging, </w:t>
      </w:r>
      <w:r w:rsidR="000655F2" w:rsidRPr="005F2054">
        <w:rPr>
          <w:rFonts w:ascii="Arial" w:hAnsi="Arial" w:cs="Arial"/>
          <w:lang w:val="en-GB"/>
        </w:rPr>
        <w:t xml:space="preserve">hypogonadism, vitamin D deficiency, malabsorption, low body weight, physical inactivity, excessive tobacco or alcohol </w:t>
      </w:r>
      <w:r w:rsidRPr="005F2054">
        <w:rPr>
          <w:rFonts w:ascii="Arial" w:hAnsi="Arial" w:cs="Arial"/>
          <w:lang w:val="en-GB"/>
        </w:rPr>
        <w:t>use</w:t>
      </w:r>
      <w:r w:rsidR="007E1876" w:rsidRPr="005F2054">
        <w:rPr>
          <w:rFonts w:ascii="Arial" w:hAnsi="Arial" w:cs="Arial"/>
          <w:lang w:val="en-GB"/>
        </w:rPr>
        <w:t xml:space="preserve">, </w:t>
      </w:r>
      <w:r w:rsidR="00E94EE1" w:rsidRPr="005F2054">
        <w:rPr>
          <w:rFonts w:ascii="Arial" w:hAnsi="Arial" w:cs="Arial"/>
          <w:lang w:val="en-GB"/>
        </w:rPr>
        <w:t xml:space="preserve">and immunosuppressive </w:t>
      </w:r>
      <w:r w:rsidR="0027193D" w:rsidRPr="00F522E7">
        <w:rPr>
          <w:rFonts w:ascii="Arial" w:hAnsi="Arial" w:cs="Arial"/>
          <w:lang w:val="en-GB"/>
        </w:rPr>
        <w:t>therapy</w:t>
      </w:r>
      <w:r w:rsidR="004906F4" w:rsidRPr="00F522E7">
        <w:rPr>
          <w:rFonts w:ascii="Arial" w:hAnsi="Arial" w:cs="Arial"/>
          <w:lang w:val="en-GB"/>
        </w:rPr>
        <w:t xml:space="preserve"> </w:t>
      </w:r>
      <w:r w:rsidR="0027193D" w:rsidRPr="00F522E7">
        <w:rPr>
          <w:rFonts w:ascii="Arial" w:hAnsi="Arial" w:cs="Arial"/>
          <w:lang w:val="en-GB"/>
        </w:rPr>
        <w:t>(</w:t>
      </w:r>
      <w:r w:rsidR="00810414" w:rsidRPr="00F522E7">
        <w:rPr>
          <w:rFonts w:ascii="Arial" w:hAnsi="Arial" w:cs="Arial"/>
          <w:lang w:val="en-GB"/>
        </w:rPr>
        <w:t>7</w:t>
      </w:r>
      <w:r w:rsidR="00C1438D" w:rsidRPr="00F522E7">
        <w:rPr>
          <w:rFonts w:ascii="Arial" w:hAnsi="Arial" w:cs="Arial"/>
          <w:lang w:val="en-GB"/>
        </w:rPr>
        <w:t>)</w:t>
      </w:r>
      <w:r w:rsidR="00F522E7" w:rsidRPr="00F522E7">
        <w:rPr>
          <w:rFonts w:ascii="Arial" w:hAnsi="Arial" w:cs="Arial"/>
          <w:lang w:val="en-GB"/>
        </w:rPr>
        <w:t xml:space="preserve"> </w:t>
      </w:r>
      <w:r w:rsidR="00055F29" w:rsidRPr="00F522E7">
        <w:rPr>
          <w:rFonts w:ascii="Arial" w:hAnsi="Arial" w:cs="Arial"/>
          <w:lang w:val="en-GB"/>
        </w:rPr>
        <w:t>(Table 1)</w:t>
      </w:r>
      <w:r w:rsidR="00F94D70" w:rsidRPr="00F522E7">
        <w:rPr>
          <w:rFonts w:ascii="Arial" w:hAnsi="Arial" w:cs="Arial"/>
          <w:lang w:val="en-GB"/>
        </w:rPr>
        <w:t xml:space="preserve">. </w:t>
      </w:r>
      <w:r w:rsidR="000E7CBC" w:rsidRPr="00F522E7">
        <w:rPr>
          <w:rFonts w:ascii="Arial" w:hAnsi="Arial" w:cs="Arial"/>
          <w:lang w:val="en-GB"/>
        </w:rPr>
        <w:t xml:space="preserve"> </w:t>
      </w:r>
      <w:r w:rsidRPr="00F522E7">
        <w:rPr>
          <w:rFonts w:ascii="Arial" w:hAnsi="Arial" w:cs="Arial"/>
          <w:lang w:val="en-GB"/>
        </w:rPr>
        <w:t xml:space="preserve">Improved </w:t>
      </w:r>
      <w:r w:rsidRPr="005F2054">
        <w:rPr>
          <w:rFonts w:ascii="Arial" w:hAnsi="Arial" w:cs="Arial"/>
          <w:lang w:val="en-GB"/>
        </w:rPr>
        <w:t xml:space="preserve">management </w:t>
      </w:r>
      <w:r w:rsidR="000655F2" w:rsidRPr="005F2054">
        <w:rPr>
          <w:rFonts w:ascii="Arial" w:hAnsi="Arial" w:cs="Arial"/>
          <w:lang w:val="en-GB"/>
        </w:rPr>
        <w:t>of pretransplant risk factors has</w:t>
      </w:r>
      <w:r w:rsidRPr="005F2054">
        <w:rPr>
          <w:rFonts w:ascii="Arial" w:hAnsi="Arial" w:cs="Arial"/>
          <w:lang w:val="en-GB"/>
        </w:rPr>
        <w:t xml:space="preserve"> led to better</w:t>
      </w:r>
      <w:r w:rsidR="000655F2" w:rsidRPr="005F2054">
        <w:rPr>
          <w:rFonts w:ascii="Arial" w:hAnsi="Arial" w:cs="Arial"/>
          <w:lang w:val="en-GB"/>
        </w:rPr>
        <w:t xml:space="preserve"> bone mineral density (BMD) levels before transplantation</w:t>
      </w:r>
      <w:r w:rsidR="00D16B60" w:rsidRPr="005F2054">
        <w:rPr>
          <w:rFonts w:ascii="Arial" w:hAnsi="Arial" w:cs="Arial"/>
          <w:lang w:val="en-GB"/>
        </w:rPr>
        <w:t>.</w:t>
      </w:r>
    </w:p>
    <w:p w14:paraId="52369506" w14:textId="77777777" w:rsidR="001A554E" w:rsidRDefault="001A554E" w:rsidP="005F2054">
      <w:pPr>
        <w:spacing w:after="0"/>
        <w:contextualSpacing/>
        <w:rPr>
          <w:rFonts w:ascii="Arial" w:hAnsi="Arial" w:cs="Arial"/>
          <w:lang w:val="en-GB"/>
        </w:rPr>
      </w:pPr>
    </w:p>
    <w:tbl>
      <w:tblPr>
        <w:tblStyle w:val="TableGrid"/>
        <w:tblW w:w="0" w:type="auto"/>
        <w:tblLook w:val="04A0" w:firstRow="1" w:lastRow="0" w:firstColumn="1" w:lastColumn="0" w:noHBand="0" w:noVBand="1"/>
      </w:tblPr>
      <w:tblGrid>
        <w:gridCol w:w="3775"/>
        <w:gridCol w:w="5130"/>
      </w:tblGrid>
      <w:tr w:rsidR="001A554E" w:rsidRPr="005F2054" w14:paraId="30471AEC" w14:textId="77777777" w:rsidTr="004868F8">
        <w:trPr>
          <w:trHeight w:val="287"/>
        </w:trPr>
        <w:tc>
          <w:tcPr>
            <w:tcW w:w="8905" w:type="dxa"/>
            <w:gridSpan w:val="2"/>
            <w:shd w:val="clear" w:color="auto" w:fill="FFFF00"/>
          </w:tcPr>
          <w:p w14:paraId="65134B92"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b/>
                <w:bCs/>
                <w:sz w:val="22"/>
                <w:szCs w:val="22"/>
                <w:lang w:val="en-US"/>
              </w:rPr>
              <w:t>Table 1. Risk Factors for Bone Disease in Patients with Organ Transplantation</w:t>
            </w:r>
          </w:p>
        </w:tc>
      </w:tr>
      <w:tr w:rsidR="001A554E" w:rsidRPr="005F2054" w14:paraId="69B10E6A" w14:textId="77777777" w:rsidTr="004868F8">
        <w:tc>
          <w:tcPr>
            <w:tcW w:w="3775" w:type="dxa"/>
          </w:tcPr>
          <w:p w14:paraId="32E0A561"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b/>
                <w:bCs/>
                <w:sz w:val="22"/>
                <w:szCs w:val="22"/>
                <w:lang w:val="en-US"/>
              </w:rPr>
              <w:t xml:space="preserve">Organ </w:t>
            </w:r>
          </w:p>
        </w:tc>
        <w:tc>
          <w:tcPr>
            <w:tcW w:w="5130" w:type="dxa"/>
          </w:tcPr>
          <w:p w14:paraId="6F354550" w14:textId="77777777" w:rsidR="001A554E" w:rsidRPr="001A554E" w:rsidRDefault="001A554E" w:rsidP="008603C2">
            <w:pPr>
              <w:spacing w:line="276" w:lineRule="auto"/>
              <w:rPr>
                <w:rFonts w:ascii="Arial" w:hAnsi="Arial" w:cs="Arial"/>
                <w:b/>
                <w:bCs/>
                <w:sz w:val="22"/>
                <w:szCs w:val="22"/>
                <w:lang w:val="en-US"/>
              </w:rPr>
            </w:pPr>
            <w:r w:rsidRPr="005F2054">
              <w:rPr>
                <w:rFonts w:ascii="Arial" w:hAnsi="Arial" w:cs="Arial"/>
                <w:sz w:val="22"/>
                <w:szCs w:val="22"/>
                <w:lang w:val="en-US"/>
              </w:rPr>
              <w:t xml:space="preserve"> </w:t>
            </w:r>
            <w:r w:rsidRPr="001A554E">
              <w:rPr>
                <w:rFonts w:ascii="Arial" w:hAnsi="Arial" w:cs="Arial"/>
                <w:b/>
                <w:bCs/>
                <w:sz w:val="22"/>
                <w:szCs w:val="22"/>
                <w:lang w:val="en-US"/>
              </w:rPr>
              <w:t>Potential Risk Factor</w:t>
            </w:r>
          </w:p>
        </w:tc>
      </w:tr>
      <w:tr w:rsidR="001A554E" w:rsidRPr="005F2054" w14:paraId="3198701B" w14:textId="77777777" w:rsidTr="004868F8">
        <w:tc>
          <w:tcPr>
            <w:tcW w:w="3775" w:type="dxa"/>
          </w:tcPr>
          <w:p w14:paraId="4882D831"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Pre-Transplant Factors Affecting All Transplant Patients</w:t>
            </w:r>
          </w:p>
          <w:p w14:paraId="5EACA7EA" w14:textId="77777777" w:rsidR="001A554E" w:rsidRPr="005F2054" w:rsidRDefault="001A554E" w:rsidP="008603C2">
            <w:pPr>
              <w:spacing w:line="276" w:lineRule="auto"/>
              <w:rPr>
                <w:rFonts w:ascii="Arial" w:hAnsi="Arial" w:cs="Arial"/>
                <w:b/>
                <w:bCs/>
                <w:sz w:val="22"/>
                <w:szCs w:val="22"/>
                <w:lang w:val="en-US"/>
              </w:rPr>
            </w:pPr>
          </w:p>
        </w:tc>
        <w:tc>
          <w:tcPr>
            <w:tcW w:w="5130" w:type="dxa"/>
          </w:tcPr>
          <w:p w14:paraId="20B2AD3A"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-Pre-existing low bone disease</w:t>
            </w:r>
          </w:p>
          <w:p w14:paraId="01AC4F29"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-Lower bone mineral density</w:t>
            </w:r>
          </w:p>
          <w:p w14:paraId="4A657724"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-History of Fractures</w:t>
            </w:r>
          </w:p>
        </w:tc>
      </w:tr>
      <w:tr w:rsidR="001A554E" w:rsidRPr="005F2054" w14:paraId="5C6D29BA" w14:textId="77777777" w:rsidTr="004868F8">
        <w:tc>
          <w:tcPr>
            <w:tcW w:w="3775" w:type="dxa"/>
          </w:tcPr>
          <w:p w14:paraId="401185FD"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Factors Specific to Kidney Transplant Recipients.</w:t>
            </w:r>
          </w:p>
          <w:p w14:paraId="7B4E0E01" w14:textId="77777777" w:rsidR="001A554E" w:rsidRPr="005F2054" w:rsidRDefault="001A554E" w:rsidP="008603C2">
            <w:pPr>
              <w:spacing w:line="276" w:lineRule="auto"/>
              <w:rPr>
                <w:rFonts w:ascii="Arial" w:hAnsi="Arial" w:cs="Arial"/>
                <w:b/>
                <w:bCs/>
                <w:sz w:val="22"/>
                <w:szCs w:val="22"/>
                <w:lang w:val="en-US"/>
              </w:rPr>
            </w:pPr>
          </w:p>
        </w:tc>
        <w:tc>
          <w:tcPr>
            <w:tcW w:w="5130" w:type="dxa"/>
          </w:tcPr>
          <w:p w14:paraId="7C7C270F"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-Female gender</w:t>
            </w:r>
          </w:p>
          <w:p w14:paraId="41F35D77"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-Older age</w:t>
            </w:r>
          </w:p>
          <w:p w14:paraId="3055712D"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-β-</w:t>
            </w:r>
            <w:proofErr w:type="spellStart"/>
            <w:r w:rsidRPr="005F2054">
              <w:rPr>
                <w:rFonts w:ascii="Arial" w:hAnsi="Arial" w:cs="Arial"/>
                <w:sz w:val="22"/>
                <w:szCs w:val="22"/>
                <w:lang w:val="en-US"/>
              </w:rPr>
              <w:t>microglobulin</w:t>
            </w:r>
            <w:proofErr w:type="spellEnd"/>
            <w:r w:rsidRPr="005F2054">
              <w:rPr>
                <w:rFonts w:ascii="Arial" w:hAnsi="Arial" w:cs="Arial"/>
                <w:sz w:val="22"/>
                <w:szCs w:val="22"/>
                <w:lang w:val="en-US"/>
              </w:rPr>
              <w:t xml:space="preserve"> amyloidosis</w:t>
            </w:r>
          </w:p>
          <w:p w14:paraId="58E3A81C"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-Glucocorticoids</w:t>
            </w:r>
          </w:p>
          <w:p w14:paraId="30B50F11"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-Secondary hyperparathyroidism</w:t>
            </w:r>
          </w:p>
          <w:p w14:paraId="2D0FD14C"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-adynamic bone disease</w:t>
            </w:r>
          </w:p>
          <w:p w14:paraId="52DD2D72"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-Chronic metabolic acidosis</w:t>
            </w:r>
          </w:p>
          <w:p w14:paraId="0A254A48"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-Hypogonadism</w:t>
            </w:r>
          </w:p>
          <w:p w14:paraId="539F53CB" w14:textId="7F56D7B9"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 xml:space="preserve"> -Vitamin D deficiency</w:t>
            </w:r>
          </w:p>
          <w:p w14:paraId="225E6FF6"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-Long-term hemodialysis</w:t>
            </w:r>
          </w:p>
          <w:p w14:paraId="1BF9E259"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sz w:val="22"/>
                <w:szCs w:val="22"/>
                <w:lang w:val="en-US"/>
              </w:rPr>
              <w:t>-Diabetes</w:t>
            </w:r>
          </w:p>
        </w:tc>
      </w:tr>
      <w:tr w:rsidR="001A554E" w:rsidRPr="005F2054" w14:paraId="2AFA4556" w14:textId="77777777" w:rsidTr="004868F8">
        <w:tc>
          <w:tcPr>
            <w:tcW w:w="3775" w:type="dxa"/>
          </w:tcPr>
          <w:p w14:paraId="62E6A3A7"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Factors Specific to Liver </w:t>
            </w:r>
          </w:p>
          <w:p w14:paraId="45212AC3"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Transplant Recipients.</w:t>
            </w:r>
          </w:p>
          <w:p w14:paraId="247266AA" w14:textId="77777777" w:rsidR="001A554E" w:rsidRPr="005F2054" w:rsidRDefault="001A554E" w:rsidP="008603C2">
            <w:pPr>
              <w:spacing w:line="276" w:lineRule="auto"/>
              <w:rPr>
                <w:rFonts w:ascii="Arial" w:hAnsi="Arial" w:cs="Arial"/>
                <w:b/>
                <w:bCs/>
                <w:sz w:val="22"/>
                <w:szCs w:val="22"/>
                <w:lang w:val="en-US"/>
              </w:rPr>
            </w:pPr>
          </w:p>
        </w:tc>
        <w:tc>
          <w:tcPr>
            <w:tcW w:w="5130" w:type="dxa"/>
          </w:tcPr>
          <w:p w14:paraId="53D949D8"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-Older age</w:t>
            </w:r>
          </w:p>
          <w:p w14:paraId="51F2C540"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-Alcoholism</w:t>
            </w:r>
          </w:p>
          <w:p w14:paraId="698603A9"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-Hypogonadism</w:t>
            </w:r>
          </w:p>
          <w:p w14:paraId="55475B4F"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-Abnormal vitamin D metabolism</w:t>
            </w:r>
          </w:p>
          <w:p w14:paraId="2D86DBA3"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-Primary biliary cirrhosis</w:t>
            </w:r>
          </w:p>
          <w:p w14:paraId="29A4D24F"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-Cholestasis</w:t>
            </w:r>
          </w:p>
          <w:p w14:paraId="3324EF3A"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sz w:val="22"/>
                <w:szCs w:val="22"/>
                <w:lang w:val="en-US"/>
              </w:rPr>
              <w:t>-Hyperbilirubinemia.</w:t>
            </w:r>
          </w:p>
        </w:tc>
      </w:tr>
      <w:tr w:rsidR="001A554E" w:rsidRPr="005F2054" w14:paraId="1BC97634" w14:textId="77777777" w:rsidTr="004868F8">
        <w:tc>
          <w:tcPr>
            <w:tcW w:w="3775" w:type="dxa"/>
          </w:tcPr>
          <w:p w14:paraId="5E42AFBC"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Factors Specific to Heart</w:t>
            </w:r>
          </w:p>
          <w:p w14:paraId="3F5CA1AE"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Transplant Recipients.</w:t>
            </w:r>
          </w:p>
          <w:p w14:paraId="5FB356A4" w14:textId="77777777" w:rsidR="001A554E" w:rsidRPr="005F2054" w:rsidRDefault="001A554E" w:rsidP="008603C2">
            <w:pPr>
              <w:spacing w:line="276" w:lineRule="auto"/>
              <w:rPr>
                <w:rFonts w:ascii="Arial" w:hAnsi="Arial" w:cs="Arial"/>
                <w:b/>
                <w:bCs/>
                <w:sz w:val="22"/>
                <w:szCs w:val="22"/>
                <w:lang w:val="en-US"/>
              </w:rPr>
            </w:pPr>
          </w:p>
        </w:tc>
        <w:tc>
          <w:tcPr>
            <w:tcW w:w="5130" w:type="dxa"/>
          </w:tcPr>
          <w:p w14:paraId="7E0FC7E3"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-Low levels of vitamin D</w:t>
            </w:r>
          </w:p>
          <w:p w14:paraId="3E744866"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-Hypogonadism</w:t>
            </w:r>
          </w:p>
          <w:p w14:paraId="0E0A517E"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-Long-term heparin</w:t>
            </w:r>
          </w:p>
          <w:p w14:paraId="3CE4F97C"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-Loops diuretics</w:t>
            </w:r>
          </w:p>
          <w:p w14:paraId="3743D20E"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-Secondary hyperparathyroidism</w:t>
            </w:r>
          </w:p>
          <w:p w14:paraId="3FDE2BEB"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 xml:space="preserve">-Physical inactivity,   </w:t>
            </w:r>
          </w:p>
          <w:p w14:paraId="49479F20"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 xml:space="preserve">-Therapy with loop diuretics, </w:t>
            </w:r>
          </w:p>
          <w:p w14:paraId="5BB076C6"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sz w:val="22"/>
                <w:szCs w:val="22"/>
                <w:lang w:val="en-US"/>
              </w:rPr>
              <w:t>-Tobacco, alcoholism.</w:t>
            </w:r>
          </w:p>
        </w:tc>
      </w:tr>
      <w:tr w:rsidR="001A554E" w:rsidRPr="005F2054" w14:paraId="6D827330" w14:textId="77777777" w:rsidTr="004868F8">
        <w:tc>
          <w:tcPr>
            <w:tcW w:w="3775" w:type="dxa"/>
          </w:tcPr>
          <w:p w14:paraId="1AC86E6D"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Factors Specific to Lung</w:t>
            </w:r>
          </w:p>
          <w:p w14:paraId="164114A8"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Transplant Recipients.</w:t>
            </w:r>
          </w:p>
          <w:p w14:paraId="59C22854" w14:textId="77777777" w:rsidR="001A554E" w:rsidRPr="005F2054" w:rsidRDefault="001A554E" w:rsidP="008603C2">
            <w:pPr>
              <w:spacing w:line="276" w:lineRule="auto"/>
              <w:rPr>
                <w:rFonts w:ascii="Arial" w:hAnsi="Arial" w:cs="Arial"/>
                <w:b/>
                <w:bCs/>
                <w:sz w:val="22"/>
                <w:szCs w:val="22"/>
                <w:lang w:val="en-US"/>
              </w:rPr>
            </w:pPr>
          </w:p>
        </w:tc>
        <w:tc>
          <w:tcPr>
            <w:tcW w:w="5130" w:type="dxa"/>
          </w:tcPr>
          <w:p w14:paraId="0891FA4E"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lastRenderedPageBreak/>
              <w:t>-Glucocorticoid therapy</w:t>
            </w:r>
          </w:p>
          <w:p w14:paraId="633C495E"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-Tobacco</w:t>
            </w:r>
          </w:p>
          <w:p w14:paraId="1AD77C7C"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lastRenderedPageBreak/>
              <w:t>-Physical inactivity</w:t>
            </w:r>
          </w:p>
          <w:p w14:paraId="57CF52A6"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-Low body weight</w:t>
            </w:r>
          </w:p>
          <w:p w14:paraId="47A28D96"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-Malnutrition</w:t>
            </w:r>
          </w:p>
          <w:p w14:paraId="421E80D2"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-Hypogonadism</w:t>
            </w:r>
          </w:p>
          <w:p w14:paraId="2740BD26"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-Hypercapnia</w:t>
            </w:r>
          </w:p>
          <w:p w14:paraId="79A531DE"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-Hypoxia</w:t>
            </w:r>
          </w:p>
          <w:p w14:paraId="51771466"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-Hypogonadism</w:t>
            </w:r>
          </w:p>
          <w:p w14:paraId="6056658B"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sz w:val="22"/>
                <w:szCs w:val="22"/>
                <w:lang w:val="en-US"/>
              </w:rPr>
              <w:t>-Cystic Fibrosis</w:t>
            </w:r>
          </w:p>
        </w:tc>
      </w:tr>
      <w:tr w:rsidR="001A554E" w:rsidRPr="005F2054" w14:paraId="585FBA37" w14:textId="77777777" w:rsidTr="004868F8">
        <w:tc>
          <w:tcPr>
            <w:tcW w:w="3775" w:type="dxa"/>
          </w:tcPr>
          <w:p w14:paraId="4089F5A5" w14:textId="77777777" w:rsidR="001A554E" w:rsidRPr="005F2054" w:rsidRDefault="001A554E" w:rsidP="008603C2">
            <w:pPr>
              <w:spacing w:line="276" w:lineRule="auto"/>
              <w:rPr>
                <w:rFonts w:ascii="Arial" w:hAnsi="Arial" w:cs="Arial"/>
                <w:b/>
                <w:bCs/>
                <w:sz w:val="22"/>
                <w:szCs w:val="22"/>
                <w:lang w:val="en-US"/>
              </w:rPr>
            </w:pPr>
          </w:p>
          <w:p w14:paraId="07A18280" w14:textId="77777777" w:rsidR="001A554E" w:rsidRPr="005F2054" w:rsidRDefault="001A554E" w:rsidP="008603C2">
            <w:pPr>
              <w:spacing w:line="276" w:lineRule="auto"/>
              <w:rPr>
                <w:rFonts w:ascii="Arial" w:hAnsi="Arial" w:cs="Arial"/>
                <w:b/>
                <w:bCs/>
                <w:sz w:val="22"/>
                <w:szCs w:val="22"/>
                <w:lang w:val="en-US"/>
              </w:rPr>
            </w:pPr>
            <w:r w:rsidRPr="005F2054">
              <w:rPr>
                <w:rFonts w:ascii="Arial" w:hAnsi="Arial" w:cs="Arial"/>
                <w:b/>
                <w:bCs/>
                <w:sz w:val="22"/>
                <w:szCs w:val="22"/>
                <w:lang w:val="en-US"/>
              </w:rPr>
              <w:t>Post-Transplant Factors Affecting All Patients</w:t>
            </w:r>
          </w:p>
          <w:p w14:paraId="5A182DE2" w14:textId="77777777" w:rsidR="001A554E" w:rsidRPr="005F2054" w:rsidRDefault="001A554E" w:rsidP="008603C2">
            <w:pPr>
              <w:spacing w:line="276" w:lineRule="auto"/>
              <w:rPr>
                <w:rFonts w:ascii="Arial" w:hAnsi="Arial" w:cs="Arial"/>
                <w:b/>
                <w:bCs/>
                <w:sz w:val="22"/>
                <w:szCs w:val="22"/>
                <w:lang w:val="en-US"/>
              </w:rPr>
            </w:pPr>
          </w:p>
          <w:p w14:paraId="6CA51895" w14:textId="77777777" w:rsidR="001A554E" w:rsidRPr="005F2054" w:rsidRDefault="001A554E" w:rsidP="008603C2">
            <w:pPr>
              <w:spacing w:line="276" w:lineRule="auto"/>
              <w:rPr>
                <w:rFonts w:ascii="Arial" w:hAnsi="Arial" w:cs="Arial"/>
                <w:b/>
                <w:bCs/>
                <w:sz w:val="22"/>
                <w:szCs w:val="22"/>
                <w:lang w:val="en-US"/>
              </w:rPr>
            </w:pPr>
          </w:p>
        </w:tc>
        <w:tc>
          <w:tcPr>
            <w:tcW w:w="5130" w:type="dxa"/>
          </w:tcPr>
          <w:p w14:paraId="14ACF209"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-Glucocorticoids</w:t>
            </w:r>
          </w:p>
          <w:p w14:paraId="7DADCCFC" w14:textId="01ECC2F1"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-Immunosuppressors: cyclosporine, Tacrolimus.</w:t>
            </w:r>
          </w:p>
          <w:p w14:paraId="0F9DEA18"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-Older age</w:t>
            </w:r>
          </w:p>
          <w:p w14:paraId="382A48A7"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-Kidney dialysis</w:t>
            </w:r>
          </w:p>
          <w:p w14:paraId="4931EF68"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-Diabetes Mellitus</w:t>
            </w:r>
          </w:p>
          <w:p w14:paraId="1BBA403A"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-High or low PTH</w:t>
            </w:r>
          </w:p>
          <w:p w14:paraId="533EA392"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b/>
                <w:bCs/>
                <w:sz w:val="22"/>
                <w:szCs w:val="22"/>
                <w:lang w:val="en-US"/>
              </w:rPr>
              <w:t>-</w:t>
            </w:r>
            <w:r w:rsidRPr="005F2054">
              <w:rPr>
                <w:rFonts w:ascii="Arial" w:hAnsi="Arial" w:cs="Arial"/>
                <w:sz w:val="22"/>
                <w:szCs w:val="22"/>
                <w:lang w:val="en-US"/>
              </w:rPr>
              <w:t xml:space="preserve">Cholestatic liver disease, </w:t>
            </w:r>
          </w:p>
          <w:p w14:paraId="25160237" w14:textId="77777777" w:rsidR="001A554E" w:rsidRPr="005F2054" w:rsidRDefault="001A554E" w:rsidP="008603C2">
            <w:pPr>
              <w:spacing w:line="276" w:lineRule="auto"/>
              <w:rPr>
                <w:rFonts w:ascii="Arial" w:hAnsi="Arial" w:cs="Arial"/>
                <w:sz w:val="22"/>
                <w:szCs w:val="22"/>
                <w:lang w:val="en-US"/>
              </w:rPr>
            </w:pPr>
            <w:r w:rsidRPr="005F2054">
              <w:rPr>
                <w:rFonts w:ascii="Arial" w:hAnsi="Arial" w:cs="Arial"/>
                <w:sz w:val="22"/>
                <w:szCs w:val="22"/>
                <w:lang w:val="en-US"/>
              </w:rPr>
              <w:t>-Primary Biliary Cirrhosis</w:t>
            </w:r>
          </w:p>
        </w:tc>
      </w:tr>
    </w:tbl>
    <w:p w14:paraId="014AE1BF" w14:textId="77777777" w:rsidR="001A554E" w:rsidRDefault="001A554E" w:rsidP="005F2054">
      <w:pPr>
        <w:spacing w:after="0"/>
        <w:contextualSpacing/>
        <w:rPr>
          <w:rFonts w:ascii="Arial" w:hAnsi="Arial" w:cs="Arial"/>
          <w:lang w:val="en-GB"/>
        </w:rPr>
      </w:pPr>
    </w:p>
    <w:p w14:paraId="1B4BAD1D" w14:textId="71451B70" w:rsidR="00C12B68" w:rsidRPr="005F2054" w:rsidRDefault="002A4FFC" w:rsidP="005F2054">
      <w:pPr>
        <w:spacing w:after="0"/>
        <w:contextualSpacing/>
        <w:rPr>
          <w:rFonts w:ascii="Arial" w:eastAsia="Times New Roman" w:hAnsi="Arial" w:cs="Arial"/>
          <w:color w:val="141413"/>
          <w:lang w:val="en-GB"/>
        </w:rPr>
      </w:pPr>
      <w:r w:rsidRPr="005F2054">
        <w:rPr>
          <w:rFonts w:ascii="Arial" w:hAnsi="Arial" w:cs="Arial"/>
          <w:lang w:val="en-GB"/>
        </w:rPr>
        <w:t>This article will review the causes,</w:t>
      </w:r>
      <w:r w:rsidR="00C12B68" w:rsidRPr="005F2054">
        <w:rPr>
          <w:rFonts w:ascii="Arial" w:eastAsia="Times New Roman" w:hAnsi="Arial" w:cs="Arial"/>
          <w:color w:val="141413"/>
          <w:lang w:val="en-GB"/>
        </w:rPr>
        <w:t xml:space="preserve"> prevention, and treatment of post</w:t>
      </w:r>
      <w:r w:rsidR="006C6B3B" w:rsidRPr="005F2054">
        <w:rPr>
          <w:rFonts w:ascii="Arial" w:eastAsia="Times New Roman" w:hAnsi="Arial" w:cs="Arial"/>
          <w:color w:val="141413"/>
          <w:lang w:val="en-GB"/>
        </w:rPr>
        <w:t>-</w:t>
      </w:r>
      <w:r w:rsidR="00C12B68" w:rsidRPr="005F2054">
        <w:rPr>
          <w:rFonts w:ascii="Arial" w:eastAsia="Times New Roman" w:hAnsi="Arial" w:cs="Arial"/>
          <w:color w:val="141413"/>
          <w:lang w:val="en-GB"/>
        </w:rPr>
        <w:t>transplant bone loss and fractures</w:t>
      </w:r>
      <w:r w:rsidR="002010A7" w:rsidRPr="005F2054">
        <w:rPr>
          <w:rFonts w:ascii="Arial" w:eastAsia="Times New Roman" w:hAnsi="Arial" w:cs="Arial"/>
          <w:color w:val="141413"/>
          <w:lang w:val="en-GB"/>
        </w:rPr>
        <w:t xml:space="preserve"> in </w:t>
      </w:r>
      <w:r w:rsidR="00C95340" w:rsidRPr="005F2054">
        <w:rPr>
          <w:rFonts w:ascii="Arial" w:eastAsia="Times New Roman" w:hAnsi="Arial" w:cs="Arial"/>
          <w:color w:val="141413"/>
          <w:lang w:val="en-GB"/>
        </w:rPr>
        <w:t xml:space="preserve">recipients of </w:t>
      </w:r>
      <w:r w:rsidR="004A63E4" w:rsidRPr="005F2054">
        <w:rPr>
          <w:rFonts w:ascii="Arial" w:eastAsia="Times New Roman" w:hAnsi="Arial" w:cs="Arial"/>
          <w:color w:val="141413"/>
          <w:lang w:val="en-GB"/>
        </w:rPr>
        <w:t xml:space="preserve">major organs involved in transplantation, such as </w:t>
      </w:r>
      <w:r w:rsidR="002010A7" w:rsidRPr="005F2054">
        <w:rPr>
          <w:rFonts w:ascii="Arial" w:eastAsia="Times New Roman" w:hAnsi="Arial" w:cs="Arial"/>
          <w:color w:val="141413"/>
          <w:lang w:val="en-GB"/>
        </w:rPr>
        <w:t>kidney, liver, cardiac, and lu</w:t>
      </w:r>
      <w:r w:rsidRPr="005F2054">
        <w:rPr>
          <w:rFonts w:ascii="Arial" w:eastAsia="Times New Roman" w:hAnsi="Arial" w:cs="Arial"/>
          <w:color w:val="141413"/>
          <w:lang w:val="en-GB"/>
        </w:rPr>
        <w:t>n</w:t>
      </w:r>
      <w:r w:rsidR="002010A7" w:rsidRPr="005F2054">
        <w:rPr>
          <w:rFonts w:ascii="Arial" w:eastAsia="Times New Roman" w:hAnsi="Arial" w:cs="Arial"/>
          <w:color w:val="141413"/>
          <w:lang w:val="en-GB"/>
        </w:rPr>
        <w:t>g</w:t>
      </w:r>
      <w:r w:rsidR="004A63E4" w:rsidRPr="005F2054">
        <w:rPr>
          <w:rFonts w:ascii="Arial" w:eastAsia="Times New Roman" w:hAnsi="Arial" w:cs="Arial"/>
          <w:color w:val="141413"/>
          <w:lang w:val="en-GB"/>
        </w:rPr>
        <w:t>.</w:t>
      </w:r>
    </w:p>
    <w:p w14:paraId="669A7382" w14:textId="77777777" w:rsidR="00D323C0" w:rsidRPr="005F2054" w:rsidRDefault="00D323C0" w:rsidP="005F2054">
      <w:pPr>
        <w:spacing w:after="0"/>
        <w:contextualSpacing/>
        <w:rPr>
          <w:rFonts w:ascii="Arial" w:eastAsia="Times New Roman" w:hAnsi="Arial" w:cs="Arial"/>
          <w:color w:val="141413"/>
          <w:lang w:val="en-GB"/>
        </w:rPr>
      </w:pPr>
    </w:p>
    <w:p w14:paraId="413CDF51" w14:textId="7DC15E5C" w:rsidR="002A372A" w:rsidRPr="005F2054" w:rsidRDefault="00C30DB6" w:rsidP="005F2054">
      <w:pPr>
        <w:spacing w:after="0"/>
        <w:contextualSpacing/>
        <w:rPr>
          <w:rFonts w:ascii="Arial" w:eastAsia="Times New Roman" w:hAnsi="Arial" w:cs="Arial"/>
          <w:b/>
          <w:color w:val="1F497D" w:themeColor="text2"/>
          <w:lang w:val="en-GB"/>
        </w:rPr>
      </w:pPr>
      <w:r w:rsidRPr="005F2054">
        <w:rPr>
          <w:rFonts w:ascii="Arial" w:eastAsia="Times New Roman" w:hAnsi="Arial" w:cs="Arial"/>
          <w:b/>
          <w:color w:val="1F497D" w:themeColor="text2"/>
          <w:lang w:val="en-GB"/>
        </w:rPr>
        <w:t>BONE AND FRACTURES BEFORE TRANSPLANTATION</w:t>
      </w:r>
      <w:r w:rsidR="00F94D70" w:rsidRPr="005F2054">
        <w:rPr>
          <w:rFonts w:ascii="Arial" w:eastAsia="Times New Roman" w:hAnsi="Arial" w:cs="Arial"/>
          <w:b/>
          <w:color w:val="1F497D" w:themeColor="text2"/>
          <w:lang w:val="en-GB"/>
        </w:rPr>
        <w:t xml:space="preserve"> </w:t>
      </w:r>
    </w:p>
    <w:p w14:paraId="2BD2F9B1" w14:textId="77777777" w:rsidR="00501D71" w:rsidRDefault="00501D71" w:rsidP="005F2054">
      <w:pPr>
        <w:spacing w:after="0"/>
        <w:contextualSpacing/>
        <w:rPr>
          <w:rFonts w:ascii="Arial" w:eastAsia="Times New Roman" w:hAnsi="Arial" w:cs="Arial"/>
          <w:color w:val="141413"/>
          <w:lang w:val="en-GB"/>
        </w:rPr>
      </w:pPr>
    </w:p>
    <w:p w14:paraId="574FFF97" w14:textId="44F95231" w:rsidR="00855357" w:rsidRDefault="008F6A1F" w:rsidP="005F2054">
      <w:pPr>
        <w:spacing w:after="0"/>
        <w:contextualSpacing/>
        <w:rPr>
          <w:rFonts w:ascii="Arial" w:eastAsia="Times New Roman" w:hAnsi="Arial" w:cs="Arial"/>
          <w:color w:val="141413"/>
          <w:lang w:val="en-GB"/>
        </w:rPr>
      </w:pPr>
      <w:r w:rsidRPr="005F2054">
        <w:rPr>
          <w:rFonts w:ascii="Arial" w:eastAsia="Times New Roman" w:hAnsi="Arial" w:cs="Arial"/>
          <w:color w:val="141413"/>
          <w:lang w:val="en-GB"/>
        </w:rPr>
        <w:t xml:space="preserve">Patients referred for solid organ transplantation </w:t>
      </w:r>
      <w:r w:rsidR="00986453" w:rsidRPr="005F2054">
        <w:rPr>
          <w:rFonts w:ascii="Arial" w:eastAsia="Times New Roman" w:hAnsi="Arial" w:cs="Arial"/>
          <w:color w:val="141413"/>
          <w:lang w:val="en-GB"/>
        </w:rPr>
        <w:t>due to various diseases</w:t>
      </w:r>
      <w:r w:rsidRPr="005F2054">
        <w:rPr>
          <w:rFonts w:ascii="Arial" w:eastAsia="Times New Roman" w:hAnsi="Arial" w:cs="Arial"/>
          <w:color w:val="141413"/>
          <w:lang w:val="en-GB"/>
        </w:rPr>
        <w:t xml:space="preserve"> (kidney, liver, heart, and lung) have </w:t>
      </w:r>
      <w:r w:rsidR="00893ABA" w:rsidRPr="005F2054">
        <w:rPr>
          <w:rFonts w:ascii="Arial" w:eastAsia="Times New Roman" w:hAnsi="Arial" w:cs="Arial"/>
          <w:color w:val="141413"/>
          <w:lang w:val="en-GB"/>
        </w:rPr>
        <w:t xml:space="preserve">a high </w:t>
      </w:r>
      <w:r w:rsidRPr="005F2054">
        <w:rPr>
          <w:rFonts w:ascii="Arial" w:eastAsia="Times New Roman" w:hAnsi="Arial" w:cs="Arial"/>
          <w:color w:val="141413"/>
          <w:lang w:val="en-GB"/>
        </w:rPr>
        <w:t xml:space="preserve">prevalence of osteoporosis and fractures, </w:t>
      </w:r>
      <w:r w:rsidR="00B04C02" w:rsidRPr="005F2054">
        <w:rPr>
          <w:rFonts w:ascii="Arial" w:eastAsia="Times New Roman" w:hAnsi="Arial" w:cs="Arial"/>
          <w:color w:val="141413"/>
          <w:lang w:val="en-GB"/>
        </w:rPr>
        <w:t xml:space="preserve">with </w:t>
      </w:r>
      <w:r w:rsidR="00893ABA" w:rsidRPr="005F2054">
        <w:rPr>
          <w:rFonts w:ascii="Arial" w:eastAsia="Times New Roman" w:hAnsi="Arial" w:cs="Arial"/>
          <w:color w:val="141413"/>
          <w:lang w:val="en-GB"/>
        </w:rPr>
        <w:t xml:space="preserve">distinct </w:t>
      </w:r>
      <w:r w:rsidR="00206704" w:rsidRPr="005F2054">
        <w:rPr>
          <w:rFonts w:ascii="Arial" w:eastAsia="Times New Roman" w:hAnsi="Arial" w:cs="Arial"/>
          <w:color w:val="141413"/>
          <w:lang w:val="en-GB"/>
        </w:rPr>
        <w:t>characteristics</w:t>
      </w:r>
      <w:r w:rsidR="00893ABA" w:rsidRPr="005F2054">
        <w:rPr>
          <w:rFonts w:ascii="Arial" w:eastAsia="Times New Roman" w:hAnsi="Arial" w:cs="Arial"/>
          <w:color w:val="141413"/>
          <w:lang w:val="en-GB"/>
        </w:rPr>
        <w:t xml:space="preserve"> specific to </w:t>
      </w:r>
      <w:r w:rsidR="00665957" w:rsidRPr="005F2054">
        <w:rPr>
          <w:rFonts w:ascii="Arial" w:eastAsia="Times New Roman" w:hAnsi="Arial" w:cs="Arial"/>
          <w:color w:val="141413"/>
          <w:lang w:val="en-GB"/>
        </w:rPr>
        <w:t xml:space="preserve">each transplanted </w:t>
      </w:r>
      <w:r w:rsidR="006A7A86" w:rsidRPr="005F2054">
        <w:rPr>
          <w:rFonts w:ascii="Arial" w:eastAsia="Times New Roman" w:hAnsi="Arial" w:cs="Arial"/>
          <w:color w:val="141413"/>
          <w:lang w:val="en-GB"/>
        </w:rPr>
        <w:t>organ (</w:t>
      </w:r>
      <w:r w:rsidR="00430A54" w:rsidRPr="005F2054">
        <w:rPr>
          <w:rFonts w:ascii="Arial" w:eastAsia="Times New Roman" w:hAnsi="Arial" w:cs="Arial"/>
          <w:color w:val="141413"/>
          <w:lang w:val="en-GB"/>
        </w:rPr>
        <w:t>Table 2).</w:t>
      </w:r>
    </w:p>
    <w:p w14:paraId="5DFDA240" w14:textId="77777777" w:rsidR="007409E9" w:rsidRDefault="007409E9" w:rsidP="005F2054">
      <w:pPr>
        <w:spacing w:after="0"/>
        <w:contextualSpacing/>
        <w:rPr>
          <w:rFonts w:ascii="Arial" w:eastAsia="Times New Roman" w:hAnsi="Arial" w:cs="Arial"/>
          <w:color w:val="141413"/>
          <w:lang w:val="en-GB"/>
        </w:rPr>
      </w:pPr>
    </w:p>
    <w:tbl>
      <w:tblPr>
        <w:tblStyle w:val="TableGrid"/>
        <w:tblW w:w="9175" w:type="dxa"/>
        <w:tblLook w:val="04A0" w:firstRow="1" w:lastRow="0" w:firstColumn="1" w:lastColumn="0" w:noHBand="0" w:noVBand="1"/>
      </w:tblPr>
      <w:tblGrid>
        <w:gridCol w:w="2123"/>
        <w:gridCol w:w="2123"/>
        <w:gridCol w:w="2124"/>
        <w:gridCol w:w="2805"/>
      </w:tblGrid>
      <w:tr w:rsidR="007409E9" w:rsidRPr="005F2054" w14:paraId="2A018BC6" w14:textId="77777777" w:rsidTr="008603C2">
        <w:tc>
          <w:tcPr>
            <w:tcW w:w="9175" w:type="dxa"/>
            <w:gridSpan w:val="4"/>
            <w:shd w:val="clear" w:color="auto" w:fill="FFFF00"/>
          </w:tcPr>
          <w:p w14:paraId="2218BC6E"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Table 2.- Prevalence of Osteoporosis and Fractures in Patients Pre-Transplantation *  </w:t>
            </w:r>
          </w:p>
        </w:tc>
      </w:tr>
      <w:tr w:rsidR="007409E9" w:rsidRPr="005F2054" w14:paraId="4F2B8B93" w14:textId="77777777" w:rsidTr="008603C2">
        <w:tc>
          <w:tcPr>
            <w:tcW w:w="2123" w:type="dxa"/>
            <w:vMerge w:val="restart"/>
          </w:tcPr>
          <w:p w14:paraId="185BED2B"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Organ</w:t>
            </w:r>
          </w:p>
        </w:tc>
        <w:tc>
          <w:tcPr>
            <w:tcW w:w="4247" w:type="dxa"/>
            <w:gridSpan w:val="2"/>
          </w:tcPr>
          <w:p w14:paraId="19A653FB" w14:textId="77777777" w:rsidR="007409E9" w:rsidRPr="005F2054" w:rsidRDefault="007409E9" w:rsidP="008603C2">
            <w:pPr>
              <w:spacing w:line="276" w:lineRule="auto"/>
              <w:jc w:val="center"/>
              <w:rPr>
                <w:rFonts w:ascii="Arial" w:hAnsi="Arial" w:cs="Arial"/>
                <w:b/>
                <w:bCs/>
                <w:sz w:val="22"/>
                <w:szCs w:val="22"/>
                <w:lang w:val="en-US"/>
              </w:rPr>
            </w:pPr>
            <w:r w:rsidRPr="005F2054">
              <w:rPr>
                <w:rFonts w:ascii="Arial" w:hAnsi="Arial" w:cs="Arial"/>
                <w:b/>
                <w:bCs/>
                <w:sz w:val="22"/>
                <w:szCs w:val="22"/>
                <w:lang w:val="en-US"/>
              </w:rPr>
              <w:t>Osteoporosis</w:t>
            </w:r>
          </w:p>
        </w:tc>
        <w:tc>
          <w:tcPr>
            <w:tcW w:w="2805" w:type="dxa"/>
            <w:vMerge w:val="restart"/>
          </w:tcPr>
          <w:p w14:paraId="1CF070FE"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Fracture incidence</w:t>
            </w:r>
          </w:p>
        </w:tc>
      </w:tr>
      <w:tr w:rsidR="007409E9" w:rsidRPr="005F2054" w14:paraId="6D1E3A00" w14:textId="77777777" w:rsidTr="008603C2">
        <w:tc>
          <w:tcPr>
            <w:tcW w:w="2123" w:type="dxa"/>
            <w:vMerge/>
          </w:tcPr>
          <w:p w14:paraId="5496754C" w14:textId="77777777" w:rsidR="007409E9" w:rsidRPr="005F2054" w:rsidRDefault="007409E9" w:rsidP="008603C2">
            <w:pPr>
              <w:spacing w:line="276" w:lineRule="auto"/>
              <w:rPr>
                <w:rFonts w:ascii="Arial" w:hAnsi="Arial" w:cs="Arial"/>
                <w:b/>
                <w:bCs/>
                <w:sz w:val="22"/>
                <w:szCs w:val="22"/>
                <w:lang w:val="en-US"/>
              </w:rPr>
            </w:pPr>
          </w:p>
        </w:tc>
        <w:tc>
          <w:tcPr>
            <w:tcW w:w="2123" w:type="dxa"/>
          </w:tcPr>
          <w:p w14:paraId="2B1EB7DB"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Spine</w:t>
            </w:r>
          </w:p>
        </w:tc>
        <w:tc>
          <w:tcPr>
            <w:tcW w:w="2124" w:type="dxa"/>
          </w:tcPr>
          <w:p w14:paraId="54801ED4"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Hip</w:t>
            </w:r>
          </w:p>
        </w:tc>
        <w:tc>
          <w:tcPr>
            <w:tcW w:w="2805" w:type="dxa"/>
            <w:vMerge/>
          </w:tcPr>
          <w:p w14:paraId="522B95CA" w14:textId="77777777" w:rsidR="007409E9" w:rsidRPr="005F2054" w:rsidRDefault="007409E9" w:rsidP="008603C2">
            <w:pPr>
              <w:spacing w:line="276" w:lineRule="auto"/>
              <w:rPr>
                <w:rFonts w:ascii="Arial" w:hAnsi="Arial" w:cs="Arial"/>
                <w:b/>
                <w:bCs/>
                <w:sz w:val="22"/>
                <w:szCs w:val="22"/>
                <w:lang w:val="en-US"/>
              </w:rPr>
            </w:pPr>
          </w:p>
        </w:tc>
      </w:tr>
      <w:tr w:rsidR="007409E9" w:rsidRPr="005F2054" w14:paraId="4369E4BE" w14:textId="77777777" w:rsidTr="008603C2">
        <w:tc>
          <w:tcPr>
            <w:tcW w:w="2123" w:type="dxa"/>
          </w:tcPr>
          <w:p w14:paraId="3BA4071D"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Renal</w:t>
            </w:r>
          </w:p>
        </w:tc>
        <w:tc>
          <w:tcPr>
            <w:tcW w:w="2123" w:type="dxa"/>
          </w:tcPr>
          <w:p w14:paraId="1EB1B9C8"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22% </w:t>
            </w:r>
          </w:p>
        </w:tc>
        <w:tc>
          <w:tcPr>
            <w:tcW w:w="2124" w:type="dxa"/>
          </w:tcPr>
          <w:p w14:paraId="2330E3C2"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20% </w:t>
            </w:r>
          </w:p>
        </w:tc>
        <w:tc>
          <w:tcPr>
            <w:tcW w:w="2805" w:type="dxa"/>
          </w:tcPr>
          <w:p w14:paraId="259E4280"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24%-38%</w:t>
            </w:r>
          </w:p>
        </w:tc>
      </w:tr>
      <w:tr w:rsidR="007409E9" w:rsidRPr="005F2054" w14:paraId="1890C782" w14:textId="77777777" w:rsidTr="008603C2">
        <w:tc>
          <w:tcPr>
            <w:tcW w:w="2123" w:type="dxa"/>
          </w:tcPr>
          <w:p w14:paraId="5079285C"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Liver</w:t>
            </w:r>
          </w:p>
        </w:tc>
        <w:tc>
          <w:tcPr>
            <w:tcW w:w="2123" w:type="dxa"/>
          </w:tcPr>
          <w:p w14:paraId="530E3B5F"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12%-55%</w:t>
            </w:r>
          </w:p>
        </w:tc>
        <w:tc>
          <w:tcPr>
            <w:tcW w:w="2124" w:type="dxa"/>
          </w:tcPr>
          <w:p w14:paraId="64087F34"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w:t>
            </w:r>
          </w:p>
        </w:tc>
        <w:tc>
          <w:tcPr>
            <w:tcW w:w="2805" w:type="dxa"/>
          </w:tcPr>
          <w:p w14:paraId="3504E9F9"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22% (5)</w:t>
            </w:r>
          </w:p>
        </w:tc>
      </w:tr>
      <w:tr w:rsidR="007409E9" w:rsidRPr="005F2054" w14:paraId="3BC48018" w14:textId="77777777" w:rsidTr="008603C2">
        <w:tc>
          <w:tcPr>
            <w:tcW w:w="2123" w:type="dxa"/>
          </w:tcPr>
          <w:p w14:paraId="054275BC"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Heart</w:t>
            </w:r>
          </w:p>
        </w:tc>
        <w:tc>
          <w:tcPr>
            <w:tcW w:w="2123" w:type="dxa"/>
          </w:tcPr>
          <w:p w14:paraId="61AB66EA"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7%-40%</w:t>
            </w:r>
          </w:p>
        </w:tc>
        <w:tc>
          <w:tcPr>
            <w:tcW w:w="2124" w:type="dxa"/>
          </w:tcPr>
          <w:p w14:paraId="07981300"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25%</w:t>
            </w:r>
          </w:p>
        </w:tc>
        <w:tc>
          <w:tcPr>
            <w:tcW w:w="2805" w:type="dxa"/>
          </w:tcPr>
          <w:p w14:paraId="701DA15E"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40%</w:t>
            </w:r>
          </w:p>
        </w:tc>
      </w:tr>
      <w:tr w:rsidR="007409E9" w:rsidRPr="005F2054" w14:paraId="4ADFCEE3" w14:textId="77777777" w:rsidTr="008603C2">
        <w:tc>
          <w:tcPr>
            <w:tcW w:w="2123" w:type="dxa"/>
          </w:tcPr>
          <w:p w14:paraId="7C72F6C0"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Lung</w:t>
            </w:r>
          </w:p>
        </w:tc>
        <w:tc>
          <w:tcPr>
            <w:tcW w:w="2123" w:type="dxa"/>
          </w:tcPr>
          <w:p w14:paraId="61712261"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9%-69%</w:t>
            </w:r>
          </w:p>
        </w:tc>
        <w:tc>
          <w:tcPr>
            <w:tcW w:w="2124" w:type="dxa"/>
          </w:tcPr>
          <w:p w14:paraId="4C40BC2E"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w:t>
            </w:r>
          </w:p>
        </w:tc>
        <w:tc>
          <w:tcPr>
            <w:tcW w:w="2805" w:type="dxa"/>
          </w:tcPr>
          <w:p w14:paraId="6A7FFB7D" w14:textId="77777777" w:rsidR="007409E9" w:rsidRPr="005F2054" w:rsidRDefault="007409E9"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15%-50% </w:t>
            </w:r>
          </w:p>
        </w:tc>
      </w:tr>
    </w:tbl>
    <w:p w14:paraId="0710CA90" w14:textId="77777777" w:rsidR="007409E9" w:rsidRPr="005F2054" w:rsidRDefault="007409E9" w:rsidP="007409E9">
      <w:pPr>
        <w:spacing w:after="0"/>
        <w:rPr>
          <w:rFonts w:ascii="Arial" w:hAnsi="Arial" w:cs="Arial"/>
          <w:lang w:val="en-US"/>
        </w:rPr>
      </w:pPr>
      <w:r w:rsidRPr="005F2054">
        <w:rPr>
          <w:rFonts w:ascii="Arial" w:hAnsi="Arial" w:cs="Arial"/>
          <w:b/>
          <w:bCs/>
          <w:lang w:val="en-US"/>
        </w:rPr>
        <w:t xml:space="preserve">* </w:t>
      </w:r>
      <w:r w:rsidRPr="005F2054">
        <w:rPr>
          <w:rFonts w:ascii="Arial" w:hAnsi="Arial" w:cs="Arial"/>
          <w:lang w:val="en-US"/>
        </w:rPr>
        <w:t xml:space="preserve">Using dual X-ray densitometry, Vertebral fracture incidence in the first </w:t>
      </w:r>
      <w:proofErr w:type="gramStart"/>
      <w:r w:rsidRPr="005F2054">
        <w:rPr>
          <w:rFonts w:ascii="Arial" w:hAnsi="Arial" w:cs="Arial"/>
          <w:lang w:val="en-US"/>
        </w:rPr>
        <w:t>years</w:t>
      </w:r>
      <w:proofErr w:type="gramEnd"/>
      <w:r w:rsidRPr="005F2054">
        <w:rPr>
          <w:rFonts w:ascii="Arial" w:hAnsi="Arial" w:cs="Arial"/>
          <w:lang w:val="en-US"/>
        </w:rPr>
        <w:t xml:space="preserve"> post-transplantation. References:  1,2,3,4,5,6,9,120,122,123.</w:t>
      </w:r>
    </w:p>
    <w:p w14:paraId="3300546A" w14:textId="77777777" w:rsidR="007409E9" w:rsidRPr="005F2054" w:rsidRDefault="007409E9" w:rsidP="005F2054">
      <w:pPr>
        <w:spacing w:after="0"/>
        <w:contextualSpacing/>
        <w:rPr>
          <w:rFonts w:ascii="Arial" w:eastAsia="Times New Roman" w:hAnsi="Arial" w:cs="Arial"/>
          <w:color w:val="141413"/>
          <w:lang w:val="en-GB"/>
        </w:rPr>
      </w:pPr>
    </w:p>
    <w:p w14:paraId="4BFB7983" w14:textId="77777777" w:rsidR="00FB3C40" w:rsidRDefault="00B55B58" w:rsidP="005F2054">
      <w:pPr>
        <w:spacing w:after="0"/>
        <w:contextualSpacing/>
        <w:rPr>
          <w:rFonts w:ascii="Arial" w:eastAsia="Times New Roman" w:hAnsi="Arial" w:cs="Arial"/>
          <w:b/>
          <w:color w:val="4F6228" w:themeColor="accent3" w:themeShade="80"/>
          <w:lang w:val="en-GB"/>
        </w:rPr>
      </w:pPr>
      <w:r w:rsidRPr="005F2054">
        <w:rPr>
          <w:rFonts w:ascii="Arial" w:eastAsia="Times New Roman" w:hAnsi="Arial" w:cs="Arial"/>
          <w:b/>
          <w:color w:val="4F6228" w:themeColor="accent3" w:themeShade="80"/>
          <w:lang w:val="en-GB"/>
        </w:rPr>
        <w:t>R</w:t>
      </w:r>
      <w:r w:rsidR="00501D71">
        <w:rPr>
          <w:rFonts w:ascii="Arial" w:eastAsia="Times New Roman" w:hAnsi="Arial" w:cs="Arial"/>
          <w:b/>
          <w:color w:val="4F6228" w:themeColor="accent3" w:themeShade="80"/>
          <w:lang w:val="en-GB"/>
        </w:rPr>
        <w:t xml:space="preserve">enal </w:t>
      </w:r>
      <w:r w:rsidRPr="005F2054">
        <w:rPr>
          <w:rFonts w:ascii="Arial" w:eastAsia="Times New Roman" w:hAnsi="Arial" w:cs="Arial"/>
          <w:b/>
          <w:color w:val="4F6228" w:themeColor="accent3" w:themeShade="80"/>
          <w:lang w:val="en-GB"/>
        </w:rPr>
        <w:t>D</w:t>
      </w:r>
      <w:r w:rsidR="00FB3C40">
        <w:rPr>
          <w:rFonts w:ascii="Arial" w:eastAsia="Times New Roman" w:hAnsi="Arial" w:cs="Arial"/>
          <w:b/>
          <w:color w:val="4F6228" w:themeColor="accent3" w:themeShade="80"/>
          <w:lang w:val="en-GB"/>
        </w:rPr>
        <w:t xml:space="preserve">isease </w:t>
      </w:r>
    </w:p>
    <w:p w14:paraId="5F2406F1" w14:textId="77777777" w:rsidR="00FB3C40" w:rsidRDefault="00FB3C40" w:rsidP="005F2054">
      <w:pPr>
        <w:spacing w:after="0"/>
        <w:contextualSpacing/>
        <w:rPr>
          <w:rFonts w:ascii="Arial" w:eastAsia="Times New Roman" w:hAnsi="Arial" w:cs="Arial"/>
          <w:b/>
          <w:color w:val="4F6228" w:themeColor="accent3" w:themeShade="80"/>
          <w:lang w:val="en-GB"/>
        </w:rPr>
      </w:pPr>
    </w:p>
    <w:p w14:paraId="554F8B1A" w14:textId="5C799307" w:rsidR="003841FE" w:rsidRDefault="00C01E6E" w:rsidP="005F2054">
      <w:pPr>
        <w:spacing w:after="0"/>
        <w:contextualSpacing/>
        <w:rPr>
          <w:rFonts w:ascii="Arial" w:eastAsia="Times New Roman" w:hAnsi="Arial" w:cs="Arial"/>
          <w:color w:val="141413"/>
          <w:lang w:val="en-GB"/>
        </w:rPr>
      </w:pPr>
      <w:r w:rsidRPr="005F2054">
        <w:rPr>
          <w:rFonts w:ascii="Arial" w:eastAsia="Times New Roman" w:hAnsi="Arial" w:cs="Arial"/>
          <w:color w:val="141413"/>
          <w:lang w:val="en-GB"/>
        </w:rPr>
        <w:t>End-stage</w:t>
      </w:r>
      <w:r w:rsidR="00F20E0E" w:rsidRPr="005F2054">
        <w:rPr>
          <w:rFonts w:ascii="Arial" w:eastAsia="Times New Roman" w:hAnsi="Arial" w:cs="Arial"/>
          <w:color w:val="141413"/>
          <w:lang w:val="en-GB"/>
        </w:rPr>
        <w:t xml:space="preserve"> renal disease (ESRD) </w:t>
      </w:r>
      <w:r w:rsidR="00855357" w:rsidRPr="005F2054">
        <w:rPr>
          <w:rFonts w:ascii="Arial" w:eastAsia="Times New Roman" w:hAnsi="Arial" w:cs="Arial"/>
          <w:color w:val="141413"/>
          <w:lang w:val="en-GB"/>
        </w:rPr>
        <w:t>is associated with a form of bone dise</w:t>
      </w:r>
      <w:r w:rsidR="006C6B3B" w:rsidRPr="005F2054">
        <w:rPr>
          <w:rFonts w:ascii="Arial" w:eastAsia="Times New Roman" w:hAnsi="Arial" w:cs="Arial"/>
          <w:color w:val="141413"/>
          <w:lang w:val="en-GB"/>
        </w:rPr>
        <w:t>a</w:t>
      </w:r>
      <w:r w:rsidR="00855357" w:rsidRPr="005F2054">
        <w:rPr>
          <w:rFonts w:ascii="Arial" w:eastAsia="Times New Roman" w:hAnsi="Arial" w:cs="Arial"/>
          <w:color w:val="141413"/>
          <w:lang w:val="en-GB"/>
        </w:rPr>
        <w:t>se</w:t>
      </w:r>
      <w:r w:rsidR="0019383A" w:rsidRPr="005F2054">
        <w:rPr>
          <w:rFonts w:ascii="Arial" w:eastAsia="Times New Roman" w:hAnsi="Arial" w:cs="Arial"/>
          <w:color w:val="141413"/>
          <w:lang w:val="en-GB"/>
        </w:rPr>
        <w:t xml:space="preserve"> known as </w:t>
      </w:r>
      <w:r w:rsidR="00855357" w:rsidRPr="005F2054">
        <w:rPr>
          <w:rFonts w:ascii="Arial" w:eastAsia="Times New Roman" w:hAnsi="Arial" w:cs="Arial"/>
          <w:color w:val="141413"/>
          <w:lang w:val="en-GB"/>
        </w:rPr>
        <w:t xml:space="preserve">renal osteodystrophy. </w:t>
      </w:r>
      <w:r w:rsidR="0019383A" w:rsidRPr="005F2054">
        <w:rPr>
          <w:rFonts w:ascii="Arial" w:eastAsia="Times New Roman" w:hAnsi="Arial" w:cs="Arial"/>
          <w:color w:val="141413"/>
          <w:lang w:val="en-GB"/>
        </w:rPr>
        <w:t xml:space="preserve">This condition develops due to factors such as </w:t>
      </w:r>
      <w:r w:rsidR="004206E4" w:rsidRPr="005F2054">
        <w:rPr>
          <w:rFonts w:ascii="Arial" w:eastAsia="Times New Roman" w:hAnsi="Arial" w:cs="Arial"/>
          <w:color w:val="141413"/>
          <w:lang w:val="en-GB"/>
        </w:rPr>
        <w:t xml:space="preserve">Vitamin D deficiency, hypercalcemia, hyperphosphatemia, secondary hyperparathyroidism, metabolic acidosis, </w:t>
      </w:r>
      <w:r w:rsidR="008B43A5" w:rsidRPr="005F2054">
        <w:rPr>
          <w:rFonts w:ascii="Arial" w:eastAsia="Times New Roman" w:hAnsi="Arial" w:cs="Arial"/>
          <w:color w:val="141413"/>
          <w:lang w:val="en-GB"/>
        </w:rPr>
        <w:t xml:space="preserve">adynamic bone disease, </w:t>
      </w:r>
      <w:proofErr w:type="spellStart"/>
      <w:r w:rsidR="008B43A5" w:rsidRPr="005F2054">
        <w:rPr>
          <w:rFonts w:ascii="Arial" w:eastAsia="Times New Roman" w:hAnsi="Arial" w:cs="Arial"/>
          <w:color w:val="141413"/>
          <w:lang w:val="en-GB"/>
        </w:rPr>
        <w:t>osteomalacia</w:t>
      </w:r>
      <w:proofErr w:type="spellEnd"/>
      <w:r w:rsidR="0019383A" w:rsidRPr="005F2054">
        <w:rPr>
          <w:rFonts w:ascii="Arial" w:eastAsia="Times New Roman" w:hAnsi="Arial" w:cs="Arial"/>
          <w:color w:val="141413"/>
          <w:lang w:val="en-GB"/>
        </w:rPr>
        <w:t>,</w:t>
      </w:r>
      <w:r w:rsidR="008B43A5" w:rsidRPr="005F2054">
        <w:rPr>
          <w:rFonts w:ascii="Arial" w:eastAsia="Times New Roman" w:hAnsi="Arial" w:cs="Arial"/>
          <w:color w:val="141413"/>
          <w:lang w:val="en-GB"/>
        </w:rPr>
        <w:t xml:space="preserve"> </w:t>
      </w:r>
      <w:r w:rsidR="004206E4" w:rsidRPr="005F2054">
        <w:rPr>
          <w:rFonts w:ascii="Arial" w:eastAsia="Times New Roman" w:hAnsi="Arial" w:cs="Arial"/>
          <w:color w:val="141413"/>
          <w:lang w:val="en-GB"/>
        </w:rPr>
        <w:t xml:space="preserve">and </w:t>
      </w:r>
      <w:r w:rsidR="00631FD5" w:rsidRPr="005F2054">
        <w:rPr>
          <w:rFonts w:ascii="Arial" w:eastAsia="Times New Roman" w:hAnsi="Arial" w:cs="Arial"/>
          <w:color w:val="141413"/>
          <w:lang w:val="en-GB"/>
        </w:rPr>
        <w:t>aluminium</w:t>
      </w:r>
      <w:r w:rsidR="004206E4" w:rsidRPr="005F2054">
        <w:rPr>
          <w:rFonts w:ascii="Arial" w:eastAsia="Times New Roman" w:hAnsi="Arial" w:cs="Arial"/>
          <w:color w:val="141413"/>
          <w:lang w:val="en-GB"/>
        </w:rPr>
        <w:t xml:space="preserve"> overload </w:t>
      </w:r>
      <w:r w:rsidR="006A7A86" w:rsidRPr="005F2054">
        <w:rPr>
          <w:rFonts w:ascii="Arial" w:eastAsia="Times New Roman" w:hAnsi="Arial" w:cs="Arial"/>
          <w:color w:val="141413"/>
          <w:lang w:val="en-GB"/>
        </w:rPr>
        <w:t xml:space="preserve">which </w:t>
      </w:r>
      <w:r w:rsidR="009C7F98" w:rsidRPr="005F2054">
        <w:rPr>
          <w:rFonts w:ascii="Arial" w:eastAsia="Times New Roman" w:hAnsi="Arial" w:cs="Arial"/>
          <w:color w:val="141413"/>
          <w:lang w:val="en-GB"/>
        </w:rPr>
        <w:t xml:space="preserve">can lead to low bone </w:t>
      </w:r>
      <w:r w:rsidR="001231EB" w:rsidRPr="005F2054">
        <w:rPr>
          <w:rFonts w:ascii="Arial" w:eastAsia="Times New Roman" w:hAnsi="Arial" w:cs="Arial"/>
          <w:color w:val="141413"/>
          <w:lang w:val="en-GB"/>
        </w:rPr>
        <w:t>BMD</w:t>
      </w:r>
      <w:r w:rsidR="000A7EB4" w:rsidRPr="005F2054">
        <w:rPr>
          <w:rFonts w:ascii="Arial" w:eastAsia="Times New Roman" w:hAnsi="Arial" w:cs="Arial"/>
          <w:color w:val="141413"/>
          <w:lang w:val="en-GB"/>
        </w:rPr>
        <w:t xml:space="preserve">. </w:t>
      </w:r>
      <w:r w:rsidR="00FF6337" w:rsidRPr="005F2054">
        <w:rPr>
          <w:rFonts w:ascii="Arial" w:eastAsia="Times New Roman" w:hAnsi="Arial" w:cs="Arial"/>
          <w:color w:val="141413"/>
          <w:lang w:val="en-GB"/>
        </w:rPr>
        <w:t xml:space="preserve">In </w:t>
      </w:r>
      <w:r w:rsidR="00A95A9D" w:rsidRPr="005F2054">
        <w:rPr>
          <w:rFonts w:ascii="Arial" w:eastAsia="Times New Roman" w:hAnsi="Arial" w:cs="Arial"/>
          <w:color w:val="141413"/>
          <w:lang w:val="en-GB"/>
        </w:rPr>
        <w:t>ESRD, cortical</w:t>
      </w:r>
      <w:r w:rsidR="00FF6337" w:rsidRPr="005F2054">
        <w:rPr>
          <w:rFonts w:ascii="Arial" w:eastAsia="Times New Roman" w:hAnsi="Arial" w:cs="Arial"/>
          <w:color w:val="141413"/>
          <w:lang w:val="en-GB"/>
        </w:rPr>
        <w:t xml:space="preserve"> bone is predominantly </w:t>
      </w:r>
      <w:r w:rsidR="001F406B" w:rsidRPr="005F2054">
        <w:rPr>
          <w:rFonts w:ascii="Arial" w:eastAsia="Times New Roman" w:hAnsi="Arial" w:cs="Arial"/>
          <w:color w:val="141413"/>
          <w:lang w:val="en-GB"/>
        </w:rPr>
        <w:t>lost</w:t>
      </w:r>
      <w:r w:rsidR="0019383A" w:rsidRPr="005F2054">
        <w:rPr>
          <w:rFonts w:ascii="Arial" w:eastAsia="Times New Roman" w:hAnsi="Arial" w:cs="Arial"/>
          <w:color w:val="141413"/>
          <w:lang w:val="en-GB"/>
        </w:rPr>
        <w:t xml:space="preserve">, often </w:t>
      </w:r>
      <w:r w:rsidR="001216E8" w:rsidRPr="005F2054">
        <w:rPr>
          <w:rFonts w:ascii="Arial" w:eastAsia="Times New Roman" w:hAnsi="Arial" w:cs="Arial"/>
          <w:color w:val="141413"/>
          <w:lang w:val="en-GB"/>
        </w:rPr>
        <w:t>resulting in</w:t>
      </w:r>
      <w:r w:rsidR="0019383A" w:rsidRPr="005F2054">
        <w:rPr>
          <w:rFonts w:ascii="Arial" w:eastAsia="Times New Roman" w:hAnsi="Arial" w:cs="Arial"/>
          <w:color w:val="141413"/>
          <w:lang w:val="en-GB"/>
        </w:rPr>
        <w:t xml:space="preserve"> </w:t>
      </w:r>
      <w:r w:rsidR="00FF6337" w:rsidRPr="005F2054">
        <w:rPr>
          <w:rFonts w:ascii="Arial" w:eastAsia="Times New Roman" w:hAnsi="Arial" w:cs="Arial"/>
          <w:color w:val="141413"/>
          <w:lang w:val="en-GB"/>
        </w:rPr>
        <w:t>peripheral fractures. The combination of fractures</w:t>
      </w:r>
      <w:r w:rsidR="00657D77" w:rsidRPr="005F2054">
        <w:rPr>
          <w:rFonts w:ascii="Arial" w:eastAsia="Times New Roman" w:hAnsi="Arial" w:cs="Arial"/>
          <w:color w:val="141413"/>
          <w:lang w:val="en-GB"/>
        </w:rPr>
        <w:t xml:space="preserve"> and the c</w:t>
      </w:r>
      <w:r w:rsidR="00FF6337" w:rsidRPr="005F2054">
        <w:rPr>
          <w:rFonts w:ascii="Arial" w:eastAsia="Times New Roman" w:hAnsi="Arial" w:cs="Arial"/>
          <w:color w:val="141413"/>
          <w:lang w:val="en-GB"/>
        </w:rPr>
        <w:t xml:space="preserve">lassic risk factors of chronic kidney disease </w:t>
      </w:r>
      <w:r w:rsidR="00657D77" w:rsidRPr="005F2054">
        <w:rPr>
          <w:rFonts w:ascii="Arial" w:eastAsia="Times New Roman" w:hAnsi="Arial" w:cs="Arial"/>
          <w:color w:val="141413"/>
          <w:lang w:val="en-GB"/>
        </w:rPr>
        <w:t xml:space="preserve">significantly </w:t>
      </w:r>
      <w:r w:rsidR="00FF6337" w:rsidRPr="005F2054">
        <w:rPr>
          <w:rFonts w:ascii="Arial" w:eastAsia="Times New Roman" w:hAnsi="Arial" w:cs="Arial"/>
          <w:color w:val="141413"/>
          <w:lang w:val="en-GB"/>
        </w:rPr>
        <w:t xml:space="preserve">increases </w:t>
      </w:r>
      <w:r w:rsidR="001F406B" w:rsidRPr="005F2054">
        <w:rPr>
          <w:rFonts w:ascii="Arial" w:eastAsia="Times New Roman" w:hAnsi="Arial" w:cs="Arial"/>
          <w:color w:val="141413"/>
          <w:lang w:val="en-GB"/>
        </w:rPr>
        <w:t>mortality.</w:t>
      </w:r>
      <w:r w:rsidR="00EF26C3" w:rsidRPr="005F2054">
        <w:rPr>
          <w:rFonts w:ascii="Arial" w:eastAsia="Times New Roman" w:hAnsi="Arial" w:cs="Arial"/>
          <w:color w:val="141413"/>
          <w:lang w:val="en-GB"/>
        </w:rPr>
        <w:t xml:space="preserve"> </w:t>
      </w:r>
    </w:p>
    <w:p w14:paraId="0A6DCF27" w14:textId="77777777" w:rsidR="00FB3C40" w:rsidRPr="005F2054" w:rsidRDefault="00FB3C40" w:rsidP="005F2054">
      <w:pPr>
        <w:spacing w:after="0"/>
        <w:contextualSpacing/>
        <w:rPr>
          <w:rFonts w:ascii="Arial" w:eastAsia="Times New Roman" w:hAnsi="Arial" w:cs="Arial"/>
          <w:color w:val="141413"/>
          <w:lang w:val="en-GB"/>
        </w:rPr>
      </w:pPr>
    </w:p>
    <w:p w14:paraId="57994BA4" w14:textId="3D721086" w:rsidR="00C91D12" w:rsidRDefault="00FF3B18" w:rsidP="005F2054">
      <w:pPr>
        <w:spacing w:after="0"/>
        <w:contextualSpacing/>
        <w:rPr>
          <w:rFonts w:ascii="Arial" w:eastAsia="Times New Roman" w:hAnsi="Arial" w:cs="Arial"/>
          <w:color w:val="141413"/>
          <w:lang w:val="en-GB"/>
        </w:rPr>
      </w:pPr>
      <w:r w:rsidRPr="005F2054">
        <w:rPr>
          <w:rFonts w:ascii="Arial" w:eastAsia="Times New Roman" w:hAnsi="Arial" w:cs="Arial"/>
          <w:bCs/>
          <w:color w:val="141413"/>
          <w:lang w:val="en-GB"/>
        </w:rPr>
        <w:lastRenderedPageBreak/>
        <w:t>O</w:t>
      </w:r>
      <w:r w:rsidR="00F41F87" w:rsidRPr="005F2054">
        <w:rPr>
          <w:rFonts w:ascii="Arial" w:eastAsia="Times New Roman" w:hAnsi="Arial" w:cs="Arial"/>
          <w:bCs/>
          <w:color w:val="141413"/>
          <w:lang w:val="en-GB"/>
        </w:rPr>
        <w:t xml:space="preserve">steoporosis </w:t>
      </w:r>
      <w:r w:rsidR="006F2486" w:rsidRPr="005F2054">
        <w:rPr>
          <w:rFonts w:ascii="Arial" w:eastAsia="Times New Roman" w:hAnsi="Arial" w:cs="Arial"/>
          <w:bCs/>
          <w:color w:val="141413"/>
          <w:lang w:val="en-GB"/>
        </w:rPr>
        <w:t>was</w:t>
      </w:r>
      <w:r w:rsidR="00F41F87" w:rsidRPr="005F2054">
        <w:rPr>
          <w:rFonts w:ascii="Arial" w:eastAsia="Times New Roman" w:hAnsi="Arial" w:cs="Arial"/>
          <w:color w:val="141413"/>
          <w:lang w:val="en-GB"/>
        </w:rPr>
        <w:t xml:space="preserve"> found in 27.6% of 221 patients awaiting kidney transplantation</w:t>
      </w:r>
      <w:r w:rsidR="00606178" w:rsidRPr="005F2054">
        <w:rPr>
          <w:rFonts w:ascii="Arial" w:eastAsia="Times New Roman" w:hAnsi="Arial" w:cs="Arial"/>
          <w:color w:val="141413"/>
          <w:lang w:val="en-GB"/>
        </w:rPr>
        <w:t xml:space="preserve"> and</w:t>
      </w:r>
      <w:r w:rsidR="00F41F87" w:rsidRPr="005F2054">
        <w:rPr>
          <w:rFonts w:ascii="Arial" w:eastAsia="Times New Roman" w:hAnsi="Arial" w:cs="Arial"/>
          <w:color w:val="141413"/>
          <w:lang w:val="en-GB"/>
        </w:rPr>
        <w:t xml:space="preserve"> was associated with vascular calcification in 75% and parathyroid hyperplasia in 93.4% of </w:t>
      </w:r>
      <w:r w:rsidR="006F2486" w:rsidRPr="005F2054">
        <w:rPr>
          <w:rFonts w:ascii="Arial" w:eastAsia="Times New Roman" w:hAnsi="Arial" w:cs="Arial"/>
          <w:color w:val="141413"/>
          <w:lang w:val="en-GB"/>
        </w:rPr>
        <w:t xml:space="preserve">cases. </w:t>
      </w:r>
      <w:r w:rsidR="00F41F87" w:rsidRPr="005F2054">
        <w:rPr>
          <w:rFonts w:ascii="Arial" w:eastAsia="Times New Roman" w:hAnsi="Arial" w:cs="Arial"/>
          <w:color w:val="141413"/>
          <w:lang w:val="en-GB"/>
        </w:rPr>
        <w:t xml:space="preserve"> </w:t>
      </w:r>
      <w:r w:rsidR="00C91D12" w:rsidRPr="005F2054">
        <w:rPr>
          <w:rFonts w:ascii="Arial" w:eastAsia="Times New Roman" w:hAnsi="Arial" w:cs="Arial"/>
          <w:color w:val="141413"/>
          <w:lang w:val="en-GB"/>
        </w:rPr>
        <w:t xml:space="preserve">In </w:t>
      </w:r>
      <w:r w:rsidR="007F1B8D" w:rsidRPr="005F2054">
        <w:rPr>
          <w:rFonts w:ascii="Arial" w:eastAsia="Times New Roman" w:hAnsi="Arial" w:cs="Arial"/>
          <w:color w:val="141413"/>
          <w:lang w:val="en-GB"/>
        </w:rPr>
        <w:t xml:space="preserve">many of </w:t>
      </w:r>
      <w:r w:rsidR="00C91D12" w:rsidRPr="005F2054">
        <w:rPr>
          <w:rFonts w:ascii="Arial" w:eastAsia="Times New Roman" w:hAnsi="Arial" w:cs="Arial"/>
          <w:color w:val="141413"/>
          <w:lang w:val="en-GB"/>
        </w:rPr>
        <w:t>these patients</w:t>
      </w:r>
      <w:r w:rsidR="007F1B8D" w:rsidRPr="005F2054">
        <w:rPr>
          <w:rFonts w:ascii="Arial" w:eastAsia="Times New Roman" w:hAnsi="Arial" w:cs="Arial"/>
          <w:color w:val="141413"/>
          <w:lang w:val="en-GB"/>
        </w:rPr>
        <w:t>,</w:t>
      </w:r>
      <w:r w:rsidR="00C91D12" w:rsidRPr="005F2054">
        <w:rPr>
          <w:rFonts w:ascii="Arial" w:eastAsia="Times New Roman" w:hAnsi="Arial" w:cs="Arial"/>
          <w:color w:val="141413"/>
          <w:lang w:val="en-GB"/>
        </w:rPr>
        <w:t xml:space="preserve"> there is a preference for appendicular fractures</w:t>
      </w:r>
      <w:r w:rsidR="007F1B8D" w:rsidRPr="005F2054">
        <w:rPr>
          <w:rFonts w:ascii="Arial" w:eastAsia="Times New Roman" w:hAnsi="Arial" w:cs="Arial"/>
          <w:color w:val="141413"/>
          <w:lang w:val="en-GB"/>
        </w:rPr>
        <w:t>, which is different from other solid transplant recipients</w:t>
      </w:r>
      <w:r w:rsidR="00A95A9D" w:rsidRPr="005F2054">
        <w:rPr>
          <w:rFonts w:ascii="Arial" w:eastAsia="Times New Roman" w:hAnsi="Arial" w:cs="Arial"/>
          <w:color w:val="141413"/>
          <w:lang w:val="en-GB"/>
        </w:rPr>
        <w:t xml:space="preserve">. </w:t>
      </w:r>
    </w:p>
    <w:p w14:paraId="65F30193" w14:textId="77777777" w:rsidR="00FB3C40" w:rsidRPr="005F2054" w:rsidRDefault="00FB3C40" w:rsidP="005F2054">
      <w:pPr>
        <w:spacing w:after="0"/>
        <w:contextualSpacing/>
        <w:rPr>
          <w:rFonts w:ascii="Arial" w:eastAsia="Times New Roman" w:hAnsi="Arial" w:cs="Arial"/>
          <w:color w:val="141413"/>
          <w:lang w:val="en-GB"/>
        </w:rPr>
      </w:pPr>
    </w:p>
    <w:p w14:paraId="67984FE4" w14:textId="64301D15" w:rsidR="00F41F87" w:rsidRDefault="006F2486"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Elevated</w:t>
      </w:r>
      <w:r w:rsidR="00F41F87" w:rsidRPr="005F2054">
        <w:rPr>
          <w:rFonts w:ascii="Arial" w:eastAsia="Times New Roman" w:hAnsi="Arial" w:cs="Arial"/>
          <w:color w:val="141413"/>
          <w:lang w:val="en-GB"/>
        </w:rPr>
        <w:t xml:space="preserve"> bone markers of formation (PINP) and resorption </w:t>
      </w:r>
      <w:r w:rsidRPr="005F2054">
        <w:rPr>
          <w:rFonts w:ascii="Arial" w:eastAsia="Times New Roman" w:hAnsi="Arial" w:cs="Arial"/>
          <w:color w:val="141413"/>
          <w:lang w:val="en-GB"/>
        </w:rPr>
        <w:t xml:space="preserve">markers </w:t>
      </w:r>
      <w:r w:rsidR="00F41F87" w:rsidRPr="005F2054">
        <w:rPr>
          <w:rFonts w:ascii="Arial" w:eastAsia="Times New Roman" w:hAnsi="Arial" w:cs="Arial"/>
          <w:color w:val="141413"/>
          <w:lang w:val="en-GB"/>
        </w:rPr>
        <w:t xml:space="preserve">(B-CTX) </w:t>
      </w:r>
      <w:r w:rsidRPr="005F2054">
        <w:rPr>
          <w:rFonts w:ascii="Arial" w:eastAsia="Times New Roman" w:hAnsi="Arial" w:cs="Arial"/>
          <w:color w:val="141413"/>
          <w:lang w:val="en-GB"/>
        </w:rPr>
        <w:t xml:space="preserve">were also linked to </w:t>
      </w:r>
      <w:r w:rsidR="00F41F87" w:rsidRPr="005F2054">
        <w:rPr>
          <w:rFonts w:ascii="Arial" w:eastAsia="Times New Roman" w:hAnsi="Arial" w:cs="Arial"/>
          <w:color w:val="141413"/>
          <w:lang w:val="en-GB"/>
        </w:rPr>
        <w:t xml:space="preserve">decreased BMD, confirming </w:t>
      </w:r>
      <w:r w:rsidRPr="005F2054">
        <w:rPr>
          <w:rFonts w:ascii="Arial" w:eastAsia="Times New Roman" w:hAnsi="Arial" w:cs="Arial"/>
          <w:color w:val="141413"/>
          <w:lang w:val="en-GB"/>
        </w:rPr>
        <w:t xml:space="preserve">a </w:t>
      </w:r>
      <w:r w:rsidR="00F41F87" w:rsidRPr="005F2054">
        <w:rPr>
          <w:rFonts w:ascii="Arial" w:eastAsia="Times New Roman" w:hAnsi="Arial" w:cs="Arial"/>
          <w:color w:val="141413"/>
          <w:lang w:val="en-GB"/>
        </w:rPr>
        <w:t>d</w:t>
      </w:r>
      <w:r w:rsidR="006F2879" w:rsidRPr="005F2054">
        <w:rPr>
          <w:rFonts w:ascii="Arial" w:eastAsia="Times New Roman" w:hAnsi="Arial" w:cs="Arial"/>
          <w:color w:val="141413"/>
          <w:lang w:val="en-GB"/>
        </w:rPr>
        <w:t>i</w:t>
      </w:r>
      <w:r w:rsidR="00F41F87" w:rsidRPr="005F2054">
        <w:rPr>
          <w:rFonts w:ascii="Arial" w:eastAsia="Times New Roman" w:hAnsi="Arial" w:cs="Arial"/>
          <w:color w:val="141413"/>
          <w:lang w:val="en-GB"/>
        </w:rPr>
        <w:t xml:space="preserve">sruption in bone </w:t>
      </w:r>
      <w:r w:rsidR="00631FD5" w:rsidRPr="005F2054">
        <w:rPr>
          <w:rFonts w:ascii="Arial" w:eastAsia="Times New Roman" w:hAnsi="Arial" w:cs="Arial"/>
          <w:color w:val="141413"/>
          <w:lang w:val="en-GB"/>
        </w:rPr>
        <w:t>remodelling</w:t>
      </w:r>
      <w:r w:rsidR="00F41F87" w:rsidRPr="005F2054">
        <w:rPr>
          <w:rFonts w:ascii="Arial" w:eastAsia="Times New Roman" w:hAnsi="Arial" w:cs="Arial"/>
          <w:color w:val="141413"/>
          <w:lang w:val="en-GB"/>
        </w:rPr>
        <w:t xml:space="preserve">. </w:t>
      </w:r>
      <w:r w:rsidR="004C7EAB" w:rsidRPr="005F2054">
        <w:rPr>
          <w:rFonts w:ascii="Arial" w:eastAsia="Times New Roman" w:hAnsi="Arial" w:cs="Arial"/>
          <w:color w:val="141413"/>
          <w:lang w:val="en-GB"/>
        </w:rPr>
        <w:t xml:space="preserve">This suggests that sustained PTH levels </w:t>
      </w:r>
      <w:r w:rsidRPr="005F2054">
        <w:rPr>
          <w:rFonts w:ascii="Arial" w:eastAsia="Times New Roman" w:hAnsi="Arial" w:cs="Arial"/>
          <w:color w:val="141413"/>
          <w:lang w:val="en-GB"/>
        </w:rPr>
        <w:t>indicate ab</w:t>
      </w:r>
      <w:r w:rsidR="004C7EAB" w:rsidRPr="005F2054">
        <w:rPr>
          <w:rFonts w:ascii="Arial" w:eastAsia="Times New Roman" w:hAnsi="Arial" w:cs="Arial"/>
          <w:color w:val="141413"/>
          <w:lang w:val="en-GB"/>
        </w:rPr>
        <w:t xml:space="preserve">normal osteoblast function </w:t>
      </w:r>
      <w:r w:rsidRPr="005F2054">
        <w:rPr>
          <w:rFonts w:ascii="Arial" w:eastAsia="Times New Roman" w:hAnsi="Arial" w:cs="Arial"/>
          <w:color w:val="141413"/>
          <w:lang w:val="en-GB"/>
        </w:rPr>
        <w:t xml:space="preserve">characterized by </w:t>
      </w:r>
      <w:r w:rsidR="004C7EAB" w:rsidRPr="005F2054">
        <w:rPr>
          <w:rFonts w:ascii="Arial" w:eastAsia="Times New Roman" w:hAnsi="Arial" w:cs="Arial"/>
          <w:color w:val="141413"/>
          <w:lang w:val="en-GB"/>
        </w:rPr>
        <w:t xml:space="preserve">high turnover and </w:t>
      </w:r>
      <w:r w:rsidRPr="005F2054">
        <w:rPr>
          <w:rFonts w:ascii="Arial" w:eastAsia="Times New Roman" w:hAnsi="Arial" w:cs="Arial"/>
          <w:color w:val="141413"/>
          <w:lang w:val="en-GB"/>
        </w:rPr>
        <w:t xml:space="preserve">increased </w:t>
      </w:r>
      <w:r w:rsidR="004C7EAB" w:rsidRPr="005F2054">
        <w:rPr>
          <w:rFonts w:ascii="Arial" w:eastAsia="Times New Roman" w:hAnsi="Arial" w:cs="Arial"/>
          <w:color w:val="141413"/>
          <w:lang w:val="en-GB"/>
        </w:rPr>
        <w:t>resorption</w:t>
      </w:r>
      <w:r w:rsidRPr="005F2054">
        <w:rPr>
          <w:rFonts w:ascii="Arial" w:eastAsia="Times New Roman" w:hAnsi="Arial" w:cs="Arial"/>
          <w:color w:val="141413"/>
          <w:lang w:val="en-GB"/>
        </w:rPr>
        <w:t xml:space="preserve"> which contributes to a higher </w:t>
      </w:r>
      <w:r w:rsidR="004C7EAB" w:rsidRPr="005F2054">
        <w:rPr>
          <w:rFonts w:ascii="Arial" w:eastAsia="Times New Roman" w:hAnsi="Arial" w:cs="Arial"/>
          <w:color w:val="141413"/>
          <w:lang w:val="en-GB"/>
        </w:rPr>
        <w:t xml:space="preserve">fracture </w:t>
      </w:r>
      <w:r w:rsidR="004C7EAB" w:rsidRPr="00FB3C40">
        <w:rPr>
          <w:rFonts w:ascii="Arial" w:eastAsia="Times New Roman" w:hAnsi="Arial" w:cs="Arial"/>
          <w:lang w:val="en-GB"/>
        </w:rPr>
        <w:t>risk</w:t>
      </w:r>
      <w:r w:rsidR="000C7906" w:rsidRPr="00FB3C40">
        <w:rPr>
          <w:rFonts w:ascii="Arial" w:eastAsia="Times New Roman" w:hAnsi="Arial" w:cs="Arial"/>
          <w:lang w:val="en-GB"/>
        </w:rPr>
        <w:t xml:space="preserve"> </w:t>
      </w:r>
      <w:r w:rsidR="00F41F87" w:rsidRPr="00FB3C40">
        <w:rPr>
          <w:rFonts w:ascii="Arial" w:eastAsia="Times New Roman" w:hAnsi="Arial" w:cs="Arial"/>
          <w:lang w:val="en-GB"/>
        </w:rPr>
        <w:t>(</w:t>
      </w:r>
      <w:r w:rsidR="000C7906" w:rsidRPr="00FB3C40">
        <w:rPr>
          <w:rFonts w:ascii="Arial" w:eastAsia="Times New Roman" w:hAnsi="Arial" w:cs="Arial"/>
          <w:lang w:val="en-GB"/>
        </w:rPr>
        <w:t>11</w:t>
      </w:r>
      <w:r w:rsidR="00F41F87" w:rsidRPr="00FB3C40">
        <w:rPr>
          <w:rFonts w:ascii="Arial" w:eastAsia="Times New Roman" w:hAnsi="Arial" w:cs="Arial"/>
          <w:lang w:val="en-GB"/>
        </w:rPr>
        <w:t>).</w:t>
      </w:r>
    </w:p>
    <w:p w14:paraId="24EF3847" w14:textId="77777777" w:rsidR="00FB3C40" w:rsidRPr="00FB3C40" w:rsidRDefault="00FB3C40" w:rsidP="005F2054">
      <w:pPr>
        <w:spacing w:after="0"/>
        <w:contextualSpacing/>
        <w:rPr>
          <w:rFonts w:ascii="Arial" w:eastAsia="Times New Roman" w:hAnsi="Arial" w:cs="Arial"/>
          <w:lang w:val="en-GB"/>
        </w:rPr>
      </w:pPr>
    </w:p>
    <w:p w14:paraId="7D697972" w14:textId="0F3DB474" w:rsidR="0095012E" w:rsidRPr="005F2054" w:rsidRDefault="00250B32"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E</w:t>
      </w:r>
      <w:r w:rsidR="003841FE" w:rsidRPr="005F2054">
        <w:rPr>
          <w:rFonts w:ascii="Arial" w:eastAsia="Times New Roman" w:hAnsi="Arial" w:cs="Arial"/>
          <w:color w:val="141413"/>
          <w:lang w:val="en-GB"/>
        </w:rPr>
        <w:t xml:space="preserve">arly renal dysfunction is associated with a 38% increase in fracture risk in </w:t>
      </w:r>
      <w:r w:rsidR="00FA5BDD" w:rsidRPr="005F2054">
        <w:rPr>
          <w:rFonts w:ascii="Arial" w:eastAsia="Times New Roman" w:hAnsi="Arial" w:cs="Arial"/>
          <w:color w:val="141413"/>
          <w:lang w:val="en-GB"/>
        </w:rPr>
        <w:t>men</w:t>
      </w:r>
      <w:r w:rsidR="006C32D1" w:rsidRPr="005F2054">
        <w:rPr>
          <w:rFonts w:ascii="Arial" w:eastAsia="Times New Roman" w:hAnsi="Arial" w:cs="Arial"/>
          <w:color w:val="141413"/>
          <w:lang w:val="en-GB"/>
        </w:rPr>
        <w:t xml:space="preserve"> over </w:t>
      </w:r>
      <w:r w:rsidR="003841FE" w:rsidRPr="005F2054">
        <w:rPr>
          <w:rFonts w:ascii="Arial" w:eastAsia="Times New Roman" w:hAnsi="Arial" w:cs="Arial"/>
          <w:color w:val="141413"/>
          <w:lang w:val="en-GB"/>
        </w:rPr>
        <w:t>65 years</w:t>
      </w:r>
      <w:r w:rsidR="006C32D1" w:rsidRPr="005F2054">
        <w:rPr>
          <w:rFonts w:ascii="Arial" w:eastAsia="Times New Roman" w:hAnsi="Arial" w:cs="Arial"/>
          <w:color w:val="141413"/>
          <w:lang w:val="en-GB"/>
        </w:rPr>
        <w:t xml:space="preserve"> old</w:t>
      </w:r>
      <w:r w:rsidR="003841FE" w:rsidRPr="005F2054">
        <w:rPr>
          <w:rFonts w:ascii="Arial" w:eastAsia="Times New Roman" w:hAnsi="Arial" w:cs="Arial"/>
          <w:color w:val="141413"/>
          <w:lang w:val="en-GB"/>
        </w:rPr>
        <w:t xml:space="preserve">.  In </w:t>
      </w:r>
      <w:r w:rsidR="006C32D1" w:rsidRPr="005F2054">
        <w:rPr>
          <w:rFonts w:ascii="Arial" w:eastAsia="Times New Roman" w:hAnsi="Arial" w:cs="Arial"/>
          <w:color w:val="141413"/>
          <w:lang w:val="en-GB"/>
        </w:rPr>
        <w:t xml:space="preserve">a cohort of </w:t>
      </w:r>
      <w:r w:rsidR="003841FE" w:rsidRPr="005F2054">
        <w:rPr>
          <w:rFonts w:ascii="Arial" w:eastAsia="Times New Roman" w:hAnsi="Arial" w:cs="Arial"/>
          <w:color w:val="141413"/>
          <w:lang w:val="en-GB"/>
        </w:rPr>
        <w:t xml:space="preserve">1477 participants </w:t>
      </w:r>
      <w:r w:rsidR="006C32D1" w:rsidRPr="005F2054">
        <w:rPr>
          <w:rFonts w:ascii="Arial" w:eastAsia="Times New Roman" w:hAnsi="Arial" w:cs="Arial"/>
          <w:color w:val="141413"/>
          <w:lang w:val="en-GB"/>
        </w:rPr>
        <w:t xml:space="preserve">from </w:t>
      </w:r>
      <w:r w:rsidR="003841FE" w:rsidRPr="005F2054">
        <w:rPr>
          <w:rFonts w:ascii="Arial" w:eastAsia="Times New Roman" w:hAnsi="Arial" w:cs="Arial"/>
          <w:color w:val="141413"/>
          <w:lang w:val="en-GB"/>
        </w:rPr>
        <w:t xml:space="preserve">the Longitudinal Aging Study </w:t>
      </w:r>
      <w:r w:rsidR="0012483E" w:rsidRPr="005F2054">
        <w:rPr>
          <w:rFonts w:ascii="Arial" w:eastAsia="Times New Roman" w:hAnsi="Arial" w:cs="Arial"/>
          <w:color w:val="141413"/>
          <w:lang w:val="en-GB"/>
        </w:rPr>
        <w:t>Amsterdam, followed</w:t>
      </w:r>
      <w:r w:rsidR="003841FE" w:rsidRPr="005F2054">
        <w:rPr>
          <w:rFonts w:ascii="Arial" w:eastAsia="Times New Roman" w:hAnsi="Arial" w:cs="Arial"/>
          <w:color w:val="141413"/>
          <w:lang w:val="en-GB"/>
        </w:rPr>
        <w:t xml:space="preserve"> for </w:t>
      </w:r>
      <w:r w:rsidR="006C32D1" w:rsidRPr="005F2054">
        <w:rPr>
          <w:rFonts w:ascii="Arial" w:eastAsia="Times New Roman" w:hAnsi="Arial" w:cs="Arial"/>
          <w:color w:val="141413"/>
          <w:lang w:val="en-GB"/>
        </w:rPr>
        <w:t xml:space="preserve">six </w:t>
      </w:r>
      <w:r w:rsidR="0012483E" w:rsidRPr="005F2054">
        <w:rPr>
          <w:rFonts w:ascii="Arial" w:eastAsia="Times New Roman" w:hAnsi="Arial" w:cs="Arial"/>
          <w:color w:val="141413"/>
          <w:lang w:val="en-GB"/>
        </w:rPr>
        <w:t>years, patients</w:t>
      </w:r>
      <w:r w:rsidR="003841FE" w:rsidRPr="005F2054">
        <w:rPr>
          <w:rFonts w:ascii="Arial" w:eastAsia="Times New Roman" w:hAnsi="Arial" w:cs="Arial"/>
          <w:color w:val="141413"/>
          <w:lang w:val="en-GB"/>
        </w:rPr>
        <w:t xml:space="preserve"> with </w:t>
      </w:r>
      <w:r w:rsidR="006C32D1" w:rsidRPr="005F2054">
        <w:rPr>
          <w:rFonts w:ascii="Arial" w:eastAsia="Times New Roman" w:hAnsi="Arial" w:cs="Arial"/>
          <w:color w:val="141413"/>
          <w:lang w:val="en-GB"/>
        </w:rPr>
        <w:t>chronic kidney disease (</w:t>
      </w:r>
      <w:r w:rsidR="003841FE" w:rsidRPr="005F2054">
        <w:rPr>
          <w:rFonts w:ascii="Arial" w:eastAsia="Times New Roman" w:hAnsi="Arial" w:cs="Arial"/>
          <w:color w:val="141413"/>
          <w:lang w:val="en-GB"/>
        </w:rPr>
        <w:t>CKD</w:t>
      </w:r>
      <w:r w:rsidR="006C32D1" w:rsidRPr="005F2054">
        <w:rPr>
          <w:rFonts w:ascii="Arial" w:eastAsia="Times New Roman" w:hAnsi="Arial" w:cs="Arial"/>
          <w:color w:val="141413"/>
          <w:lang w:val="en-GB"/>
        </w:rPr>
        <w:t xml:space="preserve">) </w:t>
      </w:r>
      <w:r w:rsidR="003841FE" w:rsidRPr="005F2054">
        <w:rPr>
          <w:rFonts w:ascii="Arial" w:eastAsia="Times New Roman" w:hAnsi="Arial" w:cs="Arial"/>
          <w:color w:val="141413"/>
          <w:lang w:val="en-GB"/>
        </w:rPr>
        <w:t xml:space="preserve">stages 3a and 3b </w:t>
      </w:r>
      <w:r w:rsidR="006C32D1" w:rsidRPr="005F2054">
        <w:rPr>
          <w:rFonts w:ascii="Arial" w:eastAsia="Times New Roman" w:hAnsi="Arial" w:cs="Arial"/>
          <w:color w:val="141413"/>
          <w:lang w:val="en-GB"/>
        </w:rPr>
        <w:t xml:space="preserve">had a </w:t>
      </w:r>
      <w:r w:rsidR="003841FE" w:rsidRPr="005F2054">
        <w:rPr>
          <w:rFonts w:ascii="Arial" w:eastAsia="Times New Roman" w:hAnsi="Arial" w:cs="Arial"/>
          <w:color w:val="141413"/>
          <w:lang w:val="en-GB"/>
        </w:rPr>
        <w:t>28</w:t>
      </w:r>
      <w:r w:rsidR="006C32D1" w:rsidRPr="005F2054">
        <w:rPr>
          <w:rFonts w:ascii="Arial" w:eastAsia="Times New Roman" w:hAnsi="Arial" w:cs="Arial"/>
          <w:color w:val="141413"/>
          <w:lang w:val="en-GB"/>
        </w:rPr>
        <w:t>%</w:t>
      </w:r>
      <w:r w:rsidR="003841FE" w:rsidRPr="005F2054">
        <w:rPr>
          <w:rFonts w:ascii="Arial" w:eastAsia="Times New Roman" w:hAnsi="Arial" w:cs="Arial"/>
          <w:color w:val="141413"/>
          <w:lang w:val="en-GB"/>
        </w:rPr>
        <w:t xml:space="preserve"> and 46% </w:t>
      </w:r>
      <w:r w:rsidR="006C32D1" w:rsidRPr="005F2054">
        <w:rPr>
          <w:rFonts w:ascii="Arial" w:eastAsia="Times New Roman" w:hAnsi="Arial" w:cs="Arial"/>
          <w:color w:val="141413"/>
          <w:lang w:val="en-GB"/>
        </w:rPr>
        <w:t>higher fracture risk</w:t>
      </w:r>
      <w:r w:rsidR="003841FE" w:rsidRPr="005F2054">
        <w:rPr>
          <w:rFonts w:ascii="Arial" w:eastAsia="Times New Roman" w:hAnsi="Arial" w:cs="Arial"/>
          <w:color w:val="141413"/>
          <w:lang w:val="en-GB"/>
        </w:rPr>
        <w:t xml:space="preserve">, </w:t>
      </w:r>
      <w:r w:rsidR="006C32D1" w:rsidRPr="005F2054">
        <w:rPr>
          <w:rFonts w:ascii="Arial" w:eastAsia="Times New Roman" w:hAnsi="Arial" w:cs="Arial"/>
          <w:color w:val="141413"/>
          <w:lang w:val="en-GB"/>
        </w:rPr>
        <w:t xml:space="preserve">respectively, </w:t>
      </w:r>
      <w:r w:rsidR="003841FE" w:rsidRPr="005F2054">
        <w:rPr>
          <w:rFonts w:ascii="Arial" w:eastAsia="Times New Roman" w:hAnsi="Arial" w:cs="Arial"/>
          <w:color w:val="141413"/>
          <w:lang w:val="en-GB"/>
        </w:rPr>
        <w:t>compare</w:t>
      </w:r>
      <w:r w:rsidR="000A4CAD" w:rsidRPr="005F2054">
        <w:rPr>
          <w:rFonts w:ascii="Arial" w:eastAsia="Times New Roman" w:hAnsi="Arial" w:cs="Arial"/>
          <w:color w:val="141413"/>
          <w:lang w:val="en-GB"/>
        </w:rPr>
        <w:t>d</w:t>
      </w:r>
      <w:r w:rsidR="003841FE" w:rsidRPr="005F2054">
        <w:rPr>
          <w:rFonts w:ascii="Arial" w:eastAsia="Times New Roman" w:hAnsi="Arial" w:cs="Arial"/>
          <w:color w:val="141413"/>
          <w:lang w:val="en-GB"/>
        </w:rPr>
        <w:t xml:space="preserve"> to </w:t>
      </w:r>
      <w:r w:rsidR="006C32D1" w:rsidRPr="005F2054">
        <w:rPr>
          <w:rFonts w:ascii="Arial" w:eastAsia="Times New Roman" w:hAnsi="Arial" w:cs="Arial"/>
          <w:color w:val="141413"/>
          <w:lang w:val="en-GB"/>
        </w:rPr>
        <w:t xml:space="preserve">those with </w:t>
      </w:r>
      <w:r w:rsidR="003841FE" w:rsidRPr="005F2054">
        <w:rPr>
          <w:rFonts w:ascii="Arial" w:eastAsia="Times New Roman" w:hAnsi="Arial" w:cs="Arial"/>
          <w:color w:val="141413"/>
          <w:lang w:val="en-GB"/>
        </w:rPr>
        <w:t>stages 1 and 2 (eGFR &gt;60 ml/min/1.73 m</w:t>
      </w:r>
      <w:r w:rsidR="00D16B60" w:rsidRPr="005F2054">
        <w:rPr>
          <w:rFonts w:ascii="Arial" w:eastAsia="Times New Roman" w:hAnsi="Arial" w:cs="Arial"/>
          <w:color w:val="141413"/>
          <w:vertAlign w:val="superscript"/>
          <w:lang w:val="en-GB"/>
        </w:rPr>
        <w:t>2</w:t>
      </w:r>
      <w:r w:rsidR="00D16B60" w:rsidRPr="005F2054">
        <w:rPr>
          <w:rFonts w:ascii="Arial" w:eastAsia="Times New Roman" w:hAnsi="Arial" w:cs="Arial"/>
          <w:lang w:val="en-GB"/>
        </w:rPr>
        <w:t>)</w:t>
      </w:r>
      <w:r w:rsidR="00D16B60" w:rsidRPr="005F2054">
        <w:rPr>
          <w:rFonts w:ascii="Arial" w:eastAsia="Times New Roman" w:hAnsi="Arial" w:cs="Arial"/>
          <w:color w:val="FF0000"/>
          <w:lang w:val="en-GB"/>
        </w:rPr>
        <w:t xml:space="preserve"> </w:t>
      </w:r>
      <w:r w:rsidR="00D16B60" w:rsidRPr="00FB3C40">
        <w:rPr>
          <w:rFonts w:ascii="Arial" w:eastAsia="Times New Roman" w:hAnsi="Arial" w:cs="Arial"/>
          <w:lang w:val="en-GB"/>
        </w:rPr>
        <w:t>(</w:t>
      </w:r>
      <w:r w:rsidR="000C7906" w:rsidRPr="00FB3C40">
        <w:rPr>
          <w:rFonts w:ascii="Arial" w:eastAsia="Times New Roman" w:hAnsi="Arial" w:cs="Arial"/>
          <w:lang w:val="en-GB"/>
        </w:rPr>
        <w:t>1</w:t>
      </w:r>
      <w:r w:rsidR="003841FE" w:rsidRPr="00FB3C40">
        <w:rPr>
          <w:rFonts w:ascii="Arial" w:eastAsia="Times New Roman" w:hAnsi="Arial" w:cs="Arial"/>
          <w:lang w:val="en-GB"/>
        </w:rPr>
        <w:t xml:space="preserve">2). </w:t>
      </w:r>
      <w:r w:rsidR="006C32D1" w:rsidRPr="005F2054">
        <w:rPr>
          <w:rFonts w:ascii="Arial" w:eastAsia="Times New Roman" w:hAnsi="Arial" w:cs="Arial"/>
          <w:color w:val="141413"/>
          <w:lang w:val="en-GB"/>
        </w:rPr>
        <w:t xml:space="preserve">Early </w:t>
      </w:r>
      <w:r w:rsidR="003841FE" w:rsidRPr="005F2054">
        <w:rPr>
          <w:rFonts w:ascii="Arial" w:eastAsia="Times New Roman" w:hAnsi="Arial" w:cs="Arial"/>
          <w:color w:val="141413"/>
          <w:lang w:val="en-GB"/>
        </w:rPr>
        <w:t xml:space="preserve">renal dysfunction </w:t>
      </w:r>
      <w:r w:rsidR="006C32D1" w:rsidRPr="005F2054">
        <w:rPr>
          <w:rFonts w:ascii="Arial" w:eastAsia="Times New Roman" w:hAnsi="Arial" w:cs="Arial"/>
          <w:color w:val="141413"/>
          <w:lang w:val="en-GB"/>
        </w:rPr>
        <w:t xml:space="preserve">was linked to lower </w:t>
      </w:r>
      <w:r w:rsidR="003841FE" w:rsidRPr="005F2054">
        <w:rPr>
          <w:rFonts w:ascii="Arial" w:eastAsia="Times New Roman" w:hAnsi="Arial" w:cs="Arial"/>
          <w:color w:val="141413"/>
          <w:lang w:val="en-GB"/>
        </w:rPr>
        <w:t xml:space="preserve">femoral neck BMD, </w:t>
      </w:r>
      <w:r w:rsidR="006C32D1" w:rsidRPr="005F2054">
        <w:rPr>
          <w:rFonts w:ascii="Arial" w:eastAsia="Times New Roman" w:hAnsi="Arial" w:cs="Arial"/>
          <w:color w:val="141413"/>
          <w:lang w:val="en-GB"/>
        </w:rPr>
        <w:t>only in men, likely due to</w:t>
      </w:r>
      <w:r w:rsidR="003841FE" w:rsidRPr="005F2054">
        <w:rPr>
          <w:rFonts w:ascii="Arial" w:eastAsia="Times New Roman" w:hAnsi="Arial" w:cs="Arial"/>
          <w:color w:val="141413"/>
          <w:lang w:val="en-GB"/>
        </w:rPr>
        <w:t xml:space="preserve"> higher PTH levels</w:t>
      </w:r>
      <w:r w:rsidR="0095012E" w:rsidRPr="005F2054">
        <w:rPr>
          <w:rFonts w:ascii="Arial" w:eastAsia="Times New Roman" w:hAnsi="Arial" w:cs="Arial"/>
          <w:color w:val="FF0000"/>
          <w:lang w:val="en-GB"/>
        </w:rPr>
        <w:t xml:space="preserve">. </w:t>
      </w:r>
      <w:r w:rsidR="006C32D1" w:rsidRPr="005F2054">
        <w:rPr>
          <w:rFonts w:ascii="Arial" w:eastAsia="Times New Roman" w:hAnsi="Arial" w:cs="Arial"/>
          <w:lang w:val="en-GB"/>
        </w:rPr>
        <w:t xml:space="preserve">Several factors, including </w:t>
      </w:r>
      <w:r w:rsidR="00C7353A" w:rsidRPr="005F2054">
        <w:rPr>
          <w:rFonts w:ascii="Arial" w:eastAsia="Times New Roman" w:hAnsi="Arial" w:cs="Arial"/>
          <w:lang w:val="en-US"/>
        </w:rPr>
        <w:t>hemodialysis</w:t>
      </w:r>
      <w:r w:rsidR="0095012E" w:rsidRPr="005F2054">
        <w:rPr>
          <w:rFonts w:ascii="Arial" w:eastAsia="Times New Roman" w:hAnsi="Arial" w:cs="Arial"/>
          <w:lang w:val="en-GB"/>
        </w:rPr>
        <w:t xml:space="preserve"> and diabetes mellitus</w:t>
      </w:r>
      <w:r w:rsidR="006C32D1" w:rsidRPr="005F2054">
        <w:rPr>
          <w:rFonts w:ascii="Arial" w:eastAsia="Times New Roman" w:hAnsi="Arial" w:cs="Arial"/>
          <w:lang w:val="en-GB"/>
        </w:rPr>
        <w:t xml:space="preserve"> further increase fracture risk</w:t>
      </w:r>
      <w:r w:rsidR="002B50E9" w:rsidRPr="005F2054">
        <w:rPr>
          <w:rFonts w:ascii="Arial" w:eastAsia="Times New Roman" w:hAnsi="Arial" w:cs="Arial"/>
          <w:lang w:val="en-GB"/>
        </w:rPr>
        <w:t>. Patients with renal insufficiency, low bone turnover, and reduced BMD are at the highest risk for fractures.</w:t>
      </w:r>
    </w:p>
    <w:p w14:paraId="3A3809E2" w14:textId="77777777" w:rsidR="002501FC" w:rsidRPr="005F2054" w:rsidRDefault="002501FC" w:rsidP="005F2054">
      <w:pPr>
        <w:spacing w:after="0"/>
        <w:contextualSpacing/>
        <w:rPr>
          <w:rFonts w:ascii="Arial" w:eastAsia="Times New Roman" w:hAnsi="Arial" w:cs="Arial"/>
          <w:lang w:val="en-GB"/>
        </w:rPr>
      </w:pPr>
    </w:p>
    <w:p w14:paraId="639D548F" w14:textId="0E5EA4D9" w:rsidR="0012755E" w:rsidRDefault="00817625" w:rsidP="005F2054">
      <w:pPr>
        <w:spacing w:after="0"/>
        <w:contextualSpacing/>
        <w:rPr>
          <w:rFonts w:ascii="Arial" w:eastAsia="Times New Roman" w:hAnsi="Arial" w:cs="Arial"/>
          <w:b/>
          <w:color w:val="4F6228" w:themeColor="accent3" w:themeShade="80"/>
          <w:lang w:val="en-GB"/>
        </w:rPr>
      </w:pPr>
      <w:bookmarkStart w:id="4" w:name="_Hlk193015857"/>
      <w:bookmarkEnd w:id="4"/>
      <w:r w:rsidRPr="005F2054">
        <w:rPr>
          <w:rFonts w:ascii="Arial" w:eastAsia="Times New Roman" w:hAnsi="Arial" w:cs="Arial"/>
          <w:b/>
          <w:color w:val="4F6228" w:themeColor="accent3" w:themeShade="80"/>
          <w:lang w:val="en-GB"/>
        </w:rPr>
        <w:t>L</w:t>
      </w:r>
      <w:r w:rsidR="0012755E">
        <w:rPr>
          <w:rFonts w:ascii="Arial" w:eastAsia="Times New Roman" w:hAnsi="Arial" w:cs="Arial"/>
          <w:b/>
          <w:color w:val="4F6228" w:themeColor="accent3" w:themeShade="80"/>
          <w:lang w:val="en-GB"/>
        </w:rPr>
        <w:t xml:space="preserve">iver Disease </w:t>
      </w:r>
    </w:p>
    <w:p w14:paraId="370D23C8" w14:textId="77777777" w:rsidR="0012755E" w:rsidRDefault="0012755E" w:rsidP="005F2054">
      <w:pPr>
        <w:spacing w:after="0"/>
        <w:contextualSpacing/>
        <w:rPr>
          <w:rFonts w:ascii="Arial" w:eastAsia="Times New Roman" w:hAnsi="Arial" w:cs="Arial"/>
          <w:color w:val="141413"/>
          <w:lang w:val="en-GB"/>
        </w:rPr>
      </w:pPr>
    </w:p>
    <w:p w14:paraId="4FF43B02" w14:textId="55D13F9C" w:rsidR="00591D32" w:rsidRDefault="00F80A79"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Osteoporosis and osteopenia are frequent complications of chronic liver disease</w:t>
      </w:r>
      <w:r w:rsidR="00B264C6" w:rsidRPr="005F2054">
        <w:rPr>
          <w:rFonts w:ascii="Arial" w:eastAsia="Times New Roman" w:hAnsi="Arial" w:cs="Arial"/>
          <w:color w:val="141413"/>
          <w:lang w:val="en-GB"/>
        </w:rPr>
        <w:t xml:space="preserve">, with a higher prevalence in patients awaiting liver transplantation, particularly in those with cholestatic liver </w:t>
      </w:r>
      <w:r w:rsidR="00887106" w:rsidRPr="0012755E">
        <w:rPr>
          <w:rFonts w:ascii="Arial" w:eastAsia="Times New Roman" w:hAnsi="Arial" w:cs="Arial"/>
          <w:lang w:val="en-GB"/>
        </w:rPr>
        <w:t xml:space="preserve">diseases </w:t>
      </w:r>
      <w:r w:rsidRPr="0012755E">
        <w:rPr>
          <w:rFonts w:ascii="Arial" w:eastAsia="Times New Roman" w:hAnsi="Arial" w:cs="Arial"/>
          <w:lang w:val="en-GB"/>
        </w:rPr>
        <w:t>(</w:t>
      </w:r>
      <w:r w:rsidR="000C7906" w:rsidRPr="0012755E">
        <w:rPr>
          <w:rFonts w:ascii="Arial" w:eastAsia="Times New Roman" w:hAnsi="Arial" w:cs="Arial"/>
          <w:lang w:val="en-GB"/>
        </w:rPr>
        <w:t>14,15</w:t>
      </w:r>
      <w:r w:rsidRPr="0012755E">
        <w:rPr>
          <w:rFonts w:ascii="Arial" w:eastAsia="Times New Roman" w:hAnsi="Arial" w:cs="Arial"/>
          <w:lang w:val="en-GB"/>
        </w:rPr>
        <w:t>).</w:t>
      </w:r>
      <w:r w:rsidR="0076711B" w:rsidRPr="0012755E">
        <w:rPr>
          <w:rFonts w:ascii="Arial" w:eastAsia="Times New Roman" w:hAnsi="Arial" w:cs="Arial"/>
          <w:lang w:val="en-GB"/>
        </w:rPr>
        <w:t xml:space="preserve"> </w:t>
      </w:r>
      <w:r w:rsidR="00887106" w:rsidRPr="0012755E">
        <w:rPr>
          <w:rFonts w:ascii="Arial" w:eastAsia="Times New Roman" w:hAnsi="Arial" w:cs="Arial"/>
          <w:lang w:val="en-GB"/>
        </w:rPr>
        <w:t>L</w:t>
      </w:r>
      <w:r w:rsidR="003A2F6F" w:rsidRPr="0012755E">
        <w:rPr>
          <w:rFonts w:ascii="Arial" w:eastAsia="Times New Roman" w:hAnsi="Arial" w:cs="Arial"/>
          <w:lang w:val="en-GB"/>
        </w:rPr>
        <w:t xml:space="preserve">ow BMD </w:t>
      </w:r>
      <w:r w:rsidR="00D57EA9" w:rsidRPr="0012755E">
        <w:rPr>
          <w:rFonts w:ascii="Arial" w:eastAsia="Times New Roman" w:hAnsi="Arial" w:cs="Arial"/>
          <w:lang w:val="en-GB"/>
        </w:rPr>
        <w:t xml:space="preserve">before transplantation is a </w:t>
      </w:r>
      <w:r w:rsidR="003A2F6F" w:rsidRPr="0012755E">
        <w:rPr>
          <w:rFonts w:ascii="Arial" w:eastAsia="Times New Roman" w:hAnsi="Arial" w:cs="Arial"/>
          <w:lang w:val="en-GB"/>
        </w:rPr>
        <w:t xml:space="preserve">major risk </w:t>
      </w:r>
      <w:r w:rsidR="001231EB" w:rsidRPr="0012755E">
        <w:rPr>
          <w:rFonts w:ascii="Arial" w:eastAsia="Times New Roman" w:hAnsi="Arial" w:cs="Arial"/>
          <w:lang w:val="en-GB"/>
        </w:rPr>
        <w:t xml:space="preserve">factor, </w:t>
      </w:r>
      <w:r w:rsidR="00D57EA9" w:rsidRPr="0012755E">
        <w:rPr>
          <w:rFonts w:ascii="Arial" w:eastAsia="Times New Roman" w:hAnsi="Arial" w:cs="Arial"/>
          <w:lang w:val="en-GB"/>
        </w:rPr>
        <w:t>influenced by in</w:t>
      </w:r>
      <w:r w:rsidR="00335072" w:rsidRPr="0012755E">
        <w:rPr>
          <w:rFonts w:ascii="Arial" w:eastAsia="Times New Roman" w:hAnsi="Arial" w:cs="Arial"/>
          <w:lang w:val="en-GB"/>
        </w:rPr>
        <w:t>adequate calcium intake, malabsorption, malnutrition, vitamin D deficiency with secondary hyperparathyroidi</w:t>
      </w:r>
      <w:r w:rsidR="0076711B" w:rsidRPr="0012755E">
        <w:rPr>
          <w:rFonts w:ascii="Arial" w:eastAsia="Times New Roman" w:hAnsi="Arial" w:cs="Arial"/>
          <w:lang w:val="en-GB"/>
        </w:rPr>
        <w:t xml:space="preserve">sm, and </w:t>
      </w:r>
      <w:r w:rsidR="00D57EA9" w:rsidRPr="0012755E">
        <w:rPr>
          <w:rFonts w:ascii="Arial" w:eastAsia="Times New Roman" w:hAnsi="Arial" w:cs="Arial"/>
          <w:lang w:val="en-GB"/>
        </w:rPr>
        <w:t xml:space="preserve">an </w:t>
      </w:r>
      <w:r w:rsidR="0076711B" w:rsidRPr="0012755E">
        <w:rPr>
          <w:rFonts w:ascii="Arial" w:eastAsia="Times New Roman" w:hAnsi="Arial" w:cs="Arial"/>
          <w:lang w:val="en-GB"/>
        </w:rPr>
        <w:t>abnormal sex hormone ratio</w:t>
      </w:r>
      <w:r w:rsidR="00521BF8" w:rsidRPr="0012755E">
        <w:rPr>
          <w:rFonts w:ascii="Arial" w:eastAsia="Times New Roman" w:hAnsi="Arial" w:cs="Arial"/>
          <w:lang w:val="en-GB"/>
        </w:rPr>
        <w:t xml:space="preserve">. </w:t>
      </w:r>
      <w:r w:rsidR="00202D8A" w:rsidRPr="0012755E">
        <w:rPr>
          <w:rFonts w:ascii="Arial" w:eastAsia="Times New Roman" w:hAnsi="Arial" w:cs="Arial"/>
          <w:lang w:val="en-GB"/>
        </w:rPr>
        <w:t xml:space="preserve">In cirrhotic patients, </w:t>
      </w:r>
      <w:r w:rsidR="00D57EA9" w:rsidRPr="0012755E">
        <w:rPr>
          <w:rFonts w:ascii="Arial" w:eastAsia="Times New Roman" w:hAnsi="Arial" w:cs="Arial"/>
          <w:lang w:val="en-GB"/>
        </w:rPr>
        <w:t xml:space="preserve">factors such as </w:t>
      </w:r>
      <w:r w:rsidR="008B19CC" w:rsidRPr="0012755E">
        <w:rPr>
          <w:rFonts w:ascii="Arial" w:eastAsia="Times New Roman" w:hAnsi="Arial" w:cs="Arial"/>
          <w:lang w:val="en-GB"/>
        </w:rPr>
        <w:t>hypogonadism, steroid use</w:t>
      </w:r>
      <w:r w:rsidR="00202D8A" w:rsidRPr="0012755E">
        <w:rPr>
          <w:rFonts w:ascii="Arial" w:eastAsia="Times New Roman" w:hAnsi="Arial" w:cs="Arial"/>
          <w:lang w:val="en-GB"/>
        </w:rPr>
        <w:t xml:space="preserve">, and alcoholism can </w:t>
      </w:r>
      <w:r w:rsidR="00D57EA9" w:rsidRPr="0012755E">
        <w:rPr>
          <w:rFonts w:ascii="Arial" w:eastAsia="Times New Roman" w:hAnsi="Arial" w:cs="Arial"/>
          <w:lang w:val="en-GB"/>
        </w:rPr>
        <w:t xml:space="preserve">further accelerate </w:t>
      </w:r>
      <w:r w:rsidR="00EE2F8B" w:rsidRPr="0012755E">
        <w:rPr>
          <w:rFonts w:ascii="Arial" w:eastAsia="Times New Roman" w:hAnsi="Arial" w:cs="Arial"/>
          <w:lang w:val="en-GB"/>
        </w:rPr>
        <w:t>b</w:t>
      </w:r>
      <w:r w:rsidR="00202D8A" w:rsidRPr="0012755E">
        <w:rPr>
          <w:rFonts w:ascii="Arial" w:eastAsia="Times New Roman" w:hAnsi="Arial" w:cs="Arial"/>
          <w:lang w:val="en-GB"/>
        </w:rPr>
        <w:t>one loss</w:t>
      </w:r>
      <w:r w:rsidR="00521BF8" w:rsidRPr="0012755E">
        <w:rPr>
          <w:rFonts w:ascii="Arial" w:eastAsia="Times New Roman" w:hAnsi="Arial" w:cs="Arial"/>
          <w:lang w:val="en-GB"/>
        </w:rPr>
        <w:t xml:space="preserve"> </w:t>
      </w:r>
      <w:r w:rsidR="00202D8A" w:rsidRPr="0012755E">
        <w:rPr>
          <w:rFonts w:ascii="Arial" w:eastAsia="Times New Roman" w:hAnsi="Arial" w:cs="Arial"/>
          <w:lang w:val="en-GB"/>
        </w:rPr>
        <w:t>(</w:t>
      </w:r>
      <w:r w:rsidR="000E2292" w:rsidRPr="0012755E">
        <w:rPr>
          <w:rFonts w:ascii="Arial" w:eastAsia="Times New Roman" w:hAnsi="Arial" w:cs="Arial"/>
          <w:lang w:val="en-GB"/>
        </w:rPr>
        <w:t>16</w:t>
      </w:r>
      <w:r w:rsidR="00202D8A" w:rsidRPr="0012755E">
        <w:rPr>
          <w:rFonts w:ascii="Arial" w:eastAsia="Times New Roman" w:hAnsi="Arial" w:cs="Arial"/>
          <w:lang w:val="en-GB"/>
        </w:rPr>
        <w:t>).</w:t>
      </w:r>
      <w:r w:rsidR="006B4CA7" w:rsidRPr="0012755E">
        <w:rPr>
          <w:rFonts w:ascii="Arial" w:eastAsia="Times New Roman" w:hAnsi="Arial" w:cs="Arial"/>
          <w:lang w:val="en-GB"/>
        </w:rPr>
        <w:t xml:space="preserve"> </w:t>
      </w:r>
      <w:r w:rsidR="004660C1">
        <w:rPr>
          <w:rFonts w:ascii="Arial" w:eastAsia="Times New Roman" w:hAnsi="Arial" w:cs="Arial"/>
          <w:lang w:val="en-GB"/>
        </w:rPr>
        <w:t>Heavy</w:t>
      </w:r>
      <w:r w:rsidR="00EA274B" w:rsidRPr="0012755E">
        <w:rPr>
          <w:rFonts w:ascii="Arial" w:hAnsi="Arial" w:cs="Arial"/>
          <w:lang w:val="en-US"/>
        </w:rPr>
        <w:t xml:space="preserve"> alcohol consumption </w:t>
      </w:r>
      <w:r w:rsidR="000E4AF4" w:rsidRPr="0012755E">
        <w:rPr>
          <w:rFonts w:ascii="Arial" w:hAnsi="Arial" w:cs="Arial"/>
          <w:lang w:val="en-US"/>
        </w:rPr>
        <w:t>a</w:t>
      </w:r>
      <w:r w:rsidR="008F4870" w:rsidRPr="0012755E">
        <w:rPr>
          <w:rFonts w:ascii="Arial" w:hAnsi="Arial" w:cs="Arial"/>
          <w:lang w:val="en-US"/>
        </w:rPr>
        <w:t>ffects</w:t>
      </w:r>
      <w:r w:rsidR="003C4485" w:rsidRPr="0012755E">
        <w:rPr>
          <w:rFonts w:ascii="Arial" w:hAnsi="Arial" w:cs="Arial"/>
          <w:lang w:val="en-US"/>
        </w:rPr>
        <w:t xml:space="preserve"> </w:t>
      </w:r>
      <w:r w:rsidR="000E4AF4" w:rsidRPr="0012755E">
        <w:rPr>
          <w:rFonts w:ascii="Arial" w:hAnsi="Arial" w:cs="Arial"/>
          <w:lang w:val="en-US"/>
        </w:rPr>
        <w:t>bone metabolism by modulating</w:t>
      </w:r>
      <w:r w:rsidR="00B3488F" w:rsidRPr="0012755E">
        <w:rPr>
          <w:rFonts w:ascii="Arial" w:hAnsi="Arial" w:cs="Arial"/>
          <w:lang w:val="en-US"/>
        </w:rPr>
        <w:t xml:space="preserve"> </w:t>
      </w:r>
      <w:proofErr w:type="spellStart"/>
      <w:r w:rsidR="00EA274B" w:rsidRPr="0012755E">
        <w:rPr>
          <w:rFonts w:ascii="Arial" w:hAnsi="Arial" w:cs="Arial"/>
          <w:lang w:val="en-US"/>
        </w:rPr>
        <w:t>Wnt</w:t>
      </w:r>
      <w:proofErr w:type="spellEnd"/>
      <w:r w:rsidR="00EA274B" w:rsidRPr="0012755E">
        <w:rPr>
          <w:rFonts w:ascii="Arial" w:hAnsi="Arial" w:cs="Arial"/>
          <w:lang w:val="en-US"/>
        </w:rPr>
        <w:t xml:space="preserve"> and mTOR signaling [</w:t>
      </w:r>
      <w:r w:rsidR="002204F9" w:rsidRPr="0012755E">
        <w:rPr>
          <w:rFonts w:ascii="Arial" w:hAnsi="Arial" w:cs="Arial"/>
          <w:lang w:val="en-US"/>
        </w:rPr>
        <w:t>17</w:t>
      </w:r>
      <w:r w:rsidR="00EA274B" w:rsidRPr="0012755E">
        <w:rPr>
          <w:rFonts w:ascii="Arial" w:hAnsi="Arial" w:cs="Arial"/>
          <w:lang w:val="en-US"/>
        </w:rPr>
        <w:t xml:space="preserve">], </w:t>
      </w:r>
      <w:r w:rsidR="00B3488F" w:rsidRPr="0012755E">
        <w:rPr>
          <w:rFonts w:ascii="Arial" w:hAnsi="Arial" w:cs="Arial"/>
          <w:lang w:val="en-US"/>
        </w:rPr>
        <w:t>leading</w:t>
      </w:r>
      <w:r w:rsidR="00EA274B" w:rsidRPr="0012755E">
        <w:rPr>
          <w:rFonts w:ascii="Arial" w:hAnsi="Arial" w:cs="Arial"/>
          <w:lang w:val="en-US"/>
        </w:rPr>
        <w:t xml:space="preserve"> to decreased bone formation </w:t>
      </w:r>
      <w:r w:rsidR="00B3488F" w:rsidRPr="0012755E">
        <w:rPr>
          <w:rFonts w:ascii="Arial" w:hAnsi="Arial" w:cs="Arial"/>
          <w:lang w:val="en-US"/>
        </w:rPr>
        <w:t xml:space="preserve">and </w:t>
      </w:r>
      <w:r w:rsidR="00EA274B" w:rsidRPr="0012755E">
        <w:rPr>
          <w:rFonts w:ascii="Arial" w:hAnsi="Arial" w:cs="Arial"/>
          <w:lang w:val="en-US"/>
        </w:rPr>
        <w:t>increased adipogenesis</w:t>
      </w:r>
      <w:r w:rsidR="000E4AF4" w:rsidRPr="0012755E">
        <w:rPr>
          <w:rFonts w:ascii="Arial" w:hAnsi="Arial" w:cs="Arial"/>
          <w:lang w:val="en-US"/>
        </w:rPr>
        <w:t>.</w:t>
      </w:r>
      <w:r w:rsidR="001536D7" w:rsidRPr="0012755E">
        <w:rPr>
          <w:rFonts w:ascii="Arial" w:hAnsi="Arial" w:cs="Arial"/>
          <w:lang w:val="en-US"/>
        </w:rPr>
        <w:t xml:space="preserve"> </w:t>
      </w:r>
      <w:r w:rsidR="00591D32" w:rsidRPr="0012755E">
        <w:rPr>
          <w:rFonts w:ascii="Arial" w:hAnsi="Arial" w:cs="Arial"/>
          <w:lang w:val="en-US"/>
        </w:rPr>
        <w:t xml:space="preserve"> </w:t>
      </w:r>
      <w:r w:rsidR="000E4AF4" w:rsidRPr="0012755E">
        <w:rPr>
          <w:rFonts w:ascii="Arial" w:hAnsi="Arial" w:cs="Arial"/>
          <w:lang w:val="en-US"/>
        </w:rPr>
        <w:t>Additionally u</w:t>
      </w:r>
      <w:r w:rsidR="00591D32" w:rsidRPr="0012755E">
        <w:rPr>
          <w:rFonts w:ascii="Arial" w:hAnsi="Arial" w:cs="Arial"/>
          <w:lang w:val="en-US"/>
        </w:rPr>
        <w:t xml:space="preserve">nconjugated bilirubin </w:t>
      </w:r>
      <w:r w:rsidR="00551EF5" w:rsidRPr="0012755E">
        <w:rPr>
          <w:rFonts w:ascii="Arial" w:hAnsi="Arial" w:cs="Arial"/>
          <w:lang w:val="en-US"/>
        </w:rPr>
        <w:t>in</w:t>
      </w:r>
      <w:r w:rsidR="00591D32" w:rsidRPr="0012755E">
        <w:rPr>
          <w:rFonts w:ascii="Arial" w:hAnsi="Arial" w:cs="Arial"/>
          <w:lang w:val="en-US"/>
        </w:rPr>
        <w:t xml:space="preserve"> </w:t>
      </w:r>
      <w:r w:rsidR="000E4AF4" w:rsidRPr="0012755E">
        <w:rPr>
          <w:rFonts w:ascii="Arial" w:hAnsi="Arial" w:cs="Arial"/>
          <w:lang w:val="en-US"/>
        </w:rPr>
        <w:t xml:space="preserve">patients with </w:t>
      </w:r>
      <w:r w:rsidR="005F6B97" w:rsidRPr="0012755E">
        <w:rPr>
          <w:rFonts w:ascii="Arial" w:hAnsi="Arial" w:cs="Arial"/>
          <w:lang w:val="en-US"/>
        </w:rPr>
        <w:t>cholestasis</w:t>
      </w:r>
      <w:r w:rsidR="00551EF5" w:rsidRPr="0012755E">
        <w:rPr>
          <w:rFonts w:ascii="Arial" w:hAnsi="Arial" w:cs="Arial"/>
          <w:lang w:val="en-US"/>
        </w:rPr>
        <w:t xml:space="preserve"> </w:t>
      </w:r>
      <w:r w:rsidR="000E4AF4" w:rsidRPr="0012755E">
        <w:rPr>
          <w:rFonts w:ascii="Arial" w:hAnsi="Arial" w:cs="Arial"/>
          <w:lang w:val="en-US"/>
        </w:rPr>
        <w:t xml:space="preserve">has been shown to exert harmful effects on osteoblasts, reducing their </w:t>
      </w:r>
      <w:r w:rsidR="00591D32" w:rsidRPr="0012755E">
        <w:rPr>
          <w:rFonts w:ascii="Arial" w:hAnsi="Arial" w:cs="Arial"/>
          <w:lang w:val="en-US"/>
        </w:rPr>
        <w:t>viability</w:t>
      </w:r>
      <w:r w:rsidR="000304B3" w:rsidRPr="0012755E">
        <w:rPr>
          <w:rFonts w:ascii="Arial" w:eastAsia="Times New Roman" w:hAnsi="Arial" w:cs="Arial"/>
          <w:lang w:val="en-GB"/>
        </w:rPr>
        <w:t>.</w:t>
      </w:r>
      <w:r w:rsidR="000E4AF4" w:rsidRPr="0012755E">
        <w:rPr>
          <w:rFonts w:ascii="Arial" w:eastAsia="Times New Roman" w:hAnsi="Arial" w:cs="Arial"/>
          <w:lang w:val="en-GB"/>
        </w:rPr>
        <w:t xml:space="preserve"> Studies have demonstrated that sera from jaundiced patients can upregulate the</w:t>
      </w:r>
      <w:r w:rsidR="00591D32" w:rsidRPr="0012755E">
        <w:rPr>
          <w:rFonts w:ascii="Arial" w:eastAsia="Times New Roman" w:hAnsi="Arial" w:cs="Arial"/>
          <w:lang w:val="en-GB"/>
        </w:rPr>
        <w:t xml:space="preserve"> RANKL/OPG ratio </w:t>
      </w:r>
      <w:r w:rsidR="000E4AF4" w:rsidRPr="0012755E">
        <w:rPr>
          <w:rFonts w:ascii="Arial" w:eastAsia="Times New Roman" w:hAnsi="Arial" w:cs="Arial"/>
          <w:lang w:val="en-GB"/>
        </w:rPr>
        <w:t>promoting</w:t>
      </w:r>
      <w:r w:rsidR="00591D32" w:rsidRPr="0012755E">
        <w:rPr>
          <w:rFonts w:ascii="Arial" w:eastAsia="Times New Roman" w:hAnsi="Arial" w:cs="Arial"/>
          <w:lang w:val="en-GB"/>
        </w:rPr>
        <w:t xml:space="preserve"> </w:t>
      </w:r>
      <w:proofErr w:type="spellStart"/>
      <w:r w:rsidR="00024D00" w:rsidRPr="0012755E">
        <w:rPr>
          <w:rFonts w:ascii="Arial" w:eastAsia="Times New Roman" w:hAnsi="Arial" w:cs="Arial"/>
          <w:lang w:val="en-GB"/>
        </w:rPr>
        <w:t>osteoclastogenesis</w:t>
      </w:r>
      <w:proofErr w:type="spellEnd"/>
      <w:r w:rsidR="000E4AF4" w:rsidRPr="0012755E">
        <w:rPr>
          <w:rFonts w:ascii="Arial" w:eastAsia="Times New Roman" w:hAnsi="Arial" w:cs="Arial"/>
          <w:lang w:val="en-GB"/>
        </w:rPr>
        <w:t>, while downregulating</w:t>
      </w:r>
      <w:r w:rsidR="00591D32" w:rsidRPr="0012755E">
        <w:rPr>
          <w:rFonts w:ascii="Arial" w:eastAsia="Times New Roman" w:hAnsi="Arial" w:cs="Arial"/>
          <w:lang w:val="en-GB"/>
        </w:rPr>
        <w:t xml:space="preserve"> Runx</w:t>
      </w:r>
      <w:r w:rsidR="00BE16A2" w:rsidRPr="0012755E">
        <w:rPr>
          <w:rFonts w:ascii="Arial" w:eastAsia="Times New Roman" w:hAnsi="Arial" w:cs="Arial"/>
          <w:lang w:val="en-GB"/>
        </w:rPr>
        <w:t>2, a</w:t>
      </w:r>
      <w:r w:rsidR="00591D32" w:rsidRPr="0012755E">
        <w:rPr>
          <w:rFonts w:ascii="Arial" w:eastAsia="Times New Roman" w:hAnsi="Arial" w:cs="Arial"/>
          <w:lang w:val="en-GB"/>
        </w:rPr>
        <w:t xml:space="preserve"> </w:t>
      </w:r>
      <w:r w:rsidR="000E4AF4" w:rsidRPr="0012755E">
        <w:rPr>
          <w:rFonts w:ascii="Arial" w:eastAsia="Times New Roman" w:hAnsi="Arial" w:cs="Arial"/>
          <w:lang w:val="en-GB"/>
        </w:rPr>
        <w:t xml:space="preserve">key </w:t>
      </w:r>
      <w:r w:rsidR="00591D32" w:rsidRPr="0012755E">
        <w:rPr>
          <w:rFonts w:ascii="Arial" w:eastAsia="Times New Roman" w:hAnsi="Arial" w:cs="Arial"/>
          <w:lang w:val="en-GB"/>
        </w:rPr>
        <w:t xml:space="preserve">transcription factor </w:t>
      </w:r>
      <w:r w:rsidR="000E4AF4" w:rsidRPr="0012755E">
        <w:rPr>
          <w:rFonts w:ascii="Arial" w:eastAsia="Times New Roman" w:hAnsi="Arial" w:cs="Arial"/>
          <w:lang w:val="en-GB"/>
        </w:rPr>
        <w:t xml:space="preserve">involved in osteoblast differentiation </w:t>
      </w:r>
      <w:r w:rsidR="00585C9E" w:rsidRPr="0012755E">
        <w:rPr>
          <w:rFonts w:ascii="Arial" w:eastAsia="Times New Roman" w:hAnsi="Arial" w:cs="Arial"/>
          <w:lang w:val="en-GB"/>
        </w:rPr>
        <w:t>(18)</w:t>
      </w:r>
      <w:r w:rsidR="00591D32" w:rsidRPr="0012755E">
        <w:rPr>
          <w:rFonts w:ascii="Arial" w:eastAsia="Times New Roman" w:hAnsi="Arial" w:cs="Arial"/>
          <w:lang w:val="en-GB"/>
        </w:rPr>
        <w:t>.</w:t>
      </w:r>
    </w:p>
    <w:p w14:paraId="22D98983" w14:textId="77777777" w:rsidR="0012755E" w:rsidRPr="0012755E" w:rsidRDefault="0012755E" w:rsidP="005F2054">
      <w:pPr>
        <w:spacing w:after="0"/>
        <w:contextualSpacing/>
        <w:rPr>
          <w:rFonts w:ascii="Arial" w:eastAsia="Times New Roman" w:hAnsi="Arial" w:cs="Arial"/>
          <w:lang w:val="en-GB"/>
        </w:rPr>
      </w:pPr>
    </w:p>
    <w:p w14:paraId="6788A599" w14:textId="7043DB67" w:rsidR="000231BA" w:rsidRPr="0012755E" w:rsidRDefault="00147A4E" w:rsidP="005F2054">
      <w:pPr>
        <w:spacing w:after="0"/>
        <w:contextualSpacing/>
        <w:rPr>
          <w:rFonts w:ascii="Arial" w:eastAsia="Times New Roman" w:hAnsi="Arial" w:cs="Arial"/>
          <w:lang w:val="en-GB"/>
        </w:rPr>
      </w:pPr>
      <w:r w:rsidRPr="0012755E">
        <w:rPr>
          <w:rFonts w:ascii="Arial" w:eastAsia="Times New Roman" w:hAnsi="Arial" w:cs="Arial"/>
          <w:lang w:val="en-GB"/>
        </w:rPr>
        <w:t>C</w:t>
      </w:r>
      <w:r w:rsidR="000231BA" w:rsidRPr="0012755E">
        <w:rPr>
          <w:rFonts w:ascii="Arial" w:eastAsia="Times New Roman" w:hAnsi="Arial" w:cs="Arial"/>
          <w:lang w:val="en-GB"/>
        </w:rPr>
        <w:t xml:space="preserve">alcium and serum PTH </w:t>
      </w:r>
      <w:r w:rsidRPr="0012755E">
        <w:rPr>
          <w:rFonts w:ascii="Arial" w:eastAsia="Times New Roman" w:hAnsi="Arial" w:cs="Arial"/>
          <w:lang w:val="en-GB"/>
        </w:rPr>
        <w:t xml:space="preserve">levels </w:t>
      </w:r>
      <w:r w:rsidR="00747EED" w:rsidRPr="0012755E">
        <w:rPr>
          <w:rFonts w:ascii="Arial" w:eastAsia="Times New Roman" w:hAnsi="Arial" w:cs="Arial"/>
          <w:lang w:val="en-GB"/>
        </w:rPr>
        <w:t xml:space="preserve">are typically normal, </w:t>
      </w:r>
      <w:r w:rsidR="000231BA" w:rsidRPr="0012755E">
        <w:rPr>
          <w:rFonts w:ascii="Arial" w:eastAsia="Times New Roman" w:hAnsi="Arial" w:cs="Arial"/>
          <w:lang w:val="en-GB"/>
        </w:rPr>
        <w:t xml:space="preserve">but two-thirds of patients </w:t>
      </w:r>
      <w:r w:rsidR="00747EED" w:rsidRPr="0012755E">
        <w:rPr>
          <w:rFonts w:ascii="Arial" w:eastAsia="Times New Roman" w:hAnsi="Arial" w:cs="Arial"/>
          <w:lang w:val="en-GB"/>
        </w:rPr>
        <w:t>may h</w:t>
      </w:r>
      <w:r w:rsidR="000231BA" w:rsidRPr="0012755E">
        <w:rPr>
          <w:rFonts w:ascii="Arial" w:eastAsia="Times New Roman" w:hAnsi="Arial" w:cs="Arial"/>
          <w:lang w:val="en-GB"/>
        </w:rPr>
        <w:t xml:space="preserve">ave low levels of 25OHD, due to impaired hepatic hydroxylation of cholecalciferol. </w:t>
      </w:r>
      <w:proofErr w:type="spellStart"/>
      <w:r w:rsidR="000231BA" w:rsidRPr="0012755E">
        <w:rPr>
          <w:rFonts w:ascii="Arial" w:eastAsia="Times New Roman" w:hAnsi="Arial" w:cs="Arial"/>
          <w:lang w:val="en-GB"/>
        </w:rPr>
        <w:t>Histomorphometric</w:t>
      </w:r>
      <w:proofErr w:type="spellEnd"/>
      <w:r w:rsidR="000231BA" w:rsidRPr="0012755E">
        <w:rPr>
          <w:rFonts w:ascii="Arial" w:eastAsia="Times New Roman" w:hAnsi="Arial" w:cs="Arial"/>
          <w:lang w:val="en-GB"/>
        </w:rPr>
        <w:t xml:space="preserve"> studies </w:t>
      </w:r>
      <w:r w:rsidR="00747EED" w:rsidRPr="0012755E">
        <w:rPr>
          <w:rFonts w:ascii="Arial" w:eastAsia="Times New Roman" w:hAnsi="Arial" w:cs="Arial"/>
          <w:lang w:val="en-GB"/>
        </w:rPr>
        <w:t xml:space="preserve">have revealed </w:t>
      </w:r>
      <w:r w:rsidR="000231BA" w:rsidRPr="0012755E">
        <w:rPr>
          <w:rFonts w:ascii="Arial" w:eastAsia="Times New Roman" w:hAnsi="Arial" w:cs="Arial"/>
          <w:lang w:val="en-GB"/>
        </w:rPr>
        <w:t xml:space="preserve">decreased cortical bone volume, low bone formation, </w:t>
      </w:r>
      <w:r w:rsidR="00747EED" w:rsidRPr="0012755E">
        <w:rPr>
          <w:rFonts w:ascii="Arial" w:eastAsia="Times New Roman" w:hAnsi="Arial" w:cs="Arial"/>
          <w:lang w:val="en-GB"/>
        </w:rPr>
        <w:t>poor</w:t>
      </w:r>
      <w:r w:rsidR="000231BA" w:rsidRPr="0012755E">
        <w:rPr>
          <w:rFonts w:ascii="Arial" w:eastAsia="Times New Roman" w:hAnsi="Arial" w:cs="Arial"/>
          <w:lang w:val="en-GB"/>
        </w:rPr>
        <w:t xml:space="preserve"> mineralization, and slightly elevated osteoclastic activity </w:t>
      </w:r>
      <w:r w:rsidR="0047090D" w:rsidRPr="0012755E">
        <w:rPr>
          <w:rFonts w:ascii="Arial" w:eastAsia="Times New Roman" w:hAnsi="Arial" w:cs="Arial"/>
          <w:lang w:val="en-GB"/>
        </w:rPr>
        <w:t>(</w:t>
      </w:r>
      <w:r w:rsidR="006803F7" w:rsidRPr="0012755E">
        <w:rPr>
          <w:rFonts w:ascii="Arial" w:eastAsia="Times New Roman" w:hAnsi="Arial" w:cs="Arial"/>
          <w:lang w:val="en-GB"/>
        </w:rPr>
        <w:t>19)</w:t>
      </w:r>
    </w:p>
    <w:p w14:paraId="7121470D" w14:textId="77777777" w:rsidR="0012755E" w:rsidRDefault="0012755E" w:rsidP="005F2054">
      <w:pPr>
        <w:spacing w:after="0"/>
        <w:contextualSpacing/>
        <w:rPr>
          <w:rFonts w:ascii="Arial" w:eastAsia="Times New Roman" w:hAnsi="Arial" w:cs="Arial"/>
          <w:b/>
          <w:color w:val="4F6228" w:themeColor="accent3" w:themeShade="80"/>
          <w:lang w:val="en-GB"/>
        </w:rPr>
      </w:pPr>
    </w:p>
    <w:p w14:paraId="040E95ED" w14:textId="1C8FBF46" w:rsidR="002800CD" w:rsidRPr="005F2054" w:rsidRDefault="00817625" w:rsidP="005F2054">
      <w:pPr>
        <w:spacing w:after="0"/>
        <w:contextualSpacing/>
        <w:rPr>
          <w:rFonts w:ascii="Arial" w:eastAsia="Times New Roman" w:hAnsi="Arial" w:cs="Arial"/>
          <w:color w:val="4F6228" w:themeColor="accent3" w:themeShade="80"/>
          <w:lang w:val="en-GB"/>
        </w:rPr>
      </w:pPr>
      <w:r w:rsidRPr="005F2054">
        <w:rPr>
          <w:rFonts w:ascii="Arial" w:eastAsia="Times New Roman" w:hAnsi="Arial" w:cs="Arial"/>
          <w:b/>
          <w:color w:val="4F6228" w:themeColor="accent3" w:themeShade="80"/>
          <w:lang w:val="en-GB"/>
        </w:rPr>
        <w:t>C</w:t>
      </w:r>
      <w:r w:rsidR="0012755E">
        <w:rPr>
          <w:rFonts w:ascii="Arial" w:eastAsia="Times New Roman" w:hAnsi="Arial" w:cs="Arial"/>
          <w:b/>
          <w:color w:val="4F6228" w:themeColor="accent3" w:themeShade="80"/>
          <w:lang w:val="en-GB"/>
        </w:rPr>
        <w:t xml:space="preserve">ardiac Disease </w:t>
      </w:r>
      <w:r w:rsidR="00BA414D" w:rsidRPr="005F2054">
        <w:rPr>
          <w:rFonts w:ascii="Arial" w:eastAsia="Times New Roman" w:hAnsi="Arial" w:cs="Arial"/>
          <w:color w:val="4F6228" w:themeColor="accent3" w:themeShade="80"/>
          <w:lang w:val="en-GB"/>
        </w:rPr>
        <w:t xml:space="preserve"> </w:t>
      </w:r>
    </w:p>
    <w:p w14:paraId="034453CD" w14:textId="77777777" w:rsidR="0012755E" w:rsidRDefault="0012755E" w:rsidP="005F2054">
      <w:pPr>
        <w:spacing w:after="0"/>
        <w:contextualSpacing/>
        <w:rPr>
          <w:rFonts w:ascii="Arial" w:eastAsia="Times New Roman" w:hAnsi="Arial" w:cs="Arial"/>
          <w:color w:val="141413"/>
          <w:lang w:val="en-GB"/>
        </w:rPr>
      </w:pPr>
    </w:p>
    <w:p w14:paraId="32C2DE73" w14:textId="3DAFE082" w:rsidR="00926F40" w:rsidRDefault="00F20871"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 xml:space="preserve">Bone loss in </w:t>
      </w:r>
      <w:r w:rsidR="00902A7F" w:rsidRPr="005F2054">
        <w:rPr>
          <w:rFonts w:ascii="Arial" w:eastAsia="Times New Roman" w:hAnsi="Arial" w:cs="Arial"/>
          <w:color w:val="141413"/>
          <w:lang w:val="en-GB"/>
        </w:rPr>
        <w:t xml:space="preserve">candidates </w:t>
      </w:r>
      <w:r w:rsidR="00667F4C" w:rsidRPr="005F2054">
        <w:rPr>
          <w:rFonts w:ascii="Arial" w:eastAsia="Times New Roman" w:hAnsi="Arial" w:cs="Arial"/>
          <w:color w:val="141413"/>
          <w:lang w:val="en-GB"/>
        </w:rPr>
        <w:t>for</w:t>
      </w:r>
      <w:r w:rsidR="00902A7F" w:rsidRPr="005F2054">
        <w:rPr>
          <w:rFonts w:ascii="Arial" w:eastAsia="Times New Roman" w:hAnsi="Arial" w:cs="Arial"/>
          <w:color w:val="141413"/>
          <w:lang w:val="en-GB"/>
        </w:rPr>
        <w:t xml:space="preserve"> </w:t>
      </w:r>
      <w:r w:rsidRPr="005F2054">
        <w:rPr>
          <w:rFonts w:ascii="Arial" w:eastAsia="Times New Roman" w:hAnsi="Arial" w:cs="Arial"/>
          <w:color w:val="141413"/>
          <w:lang w:val="en-GB"/>
        </w:rPr>
        <w:t xml:space="preserve">cardiac transplantation is </w:t>
      </w:r>
      <w:r w:rsidR="002048CD" w:rsidRPr="005F2054">
        <w:rPr>
          <w:rFonts w:ascii="Arial" w:eastAsia="Times New Roman" w:hAnsi="Arial" w:cs="Arial"/>
          <w:color w:val="141413"/>
          <w:lang w:val="en-GB"/>
        </w:rPr>
        <w:t xml:space="preserve">associated with </w:t>
      </w:r>
      <w:r w:rsidRPr="005F2054">
        <w:rPr>
          <w:rFonts w:ascii="Arial" w:eastAsia="Times New Roman" w:hAnsi="Arial" w:cs="Arial"/>
          <w:color w:val="141413"/>
          <w:lang w:val="en-GB"/>
        </w:rPr>
        <w:t xml:space="preserve">the underlying disease and is </w:t>
      </w:r>
      <w:r w:rsidR="002048CD" w:rsidRPr="005F2054">
        <w:rPr>
          <w:rFonts w:ascii="Arial" w:eastAsia="Times New Roman" w:hAnsi="Arial" w:cs="Arial"/>
          <w:color w:val="141413"/>
          <w:lang w:val="en-GB"/>
        </w:rPr>
        <w:t xml:space="preserve">commonly </w:t>
      </w:r>
      <w:r w:rsidRPr="005F2054">
        <w:rPr>
          <w:rFonts w:ascii="Arial" w:eastAsia="Times New Roman" w:hAnsi="Arial" w:cs="Arial"/>
          <w:color w:val="141413"/>
          <w:lang w:val="en-GB"/>
        </w:rPr>
        <w:t xml:space="preserve">found in those </w:t>
      </w:r>
      <w:r w:rsidR="005B442E" w:rsidRPr="005F2054">
        <w:rPr>
          <w:rFonts w:ascii="Arial" w:eastAsia="Times New Roman" w:hAnsi="Arial" w:cs="Arial"/>
          <w:color w:val="141413"/>
          <w:lang w:val="en-GB"/>
        </w:rPr>
        <w:t xml:space="preserve">with congestive heart failure. The prevalence of osteoporosis at the time of cardiac transplantation has been </w:t>
      </w:r>
      <w:r w:rsidR="002048CD" w:rsidRPr="005F2054">
        <w:rPr>
          <w:rFonts w:ascii="Arial" w:eastAsia="Times New Roman" w:hAnsi="Arial" w:cs="Arial"/>
          <w:color w:val="141413"/>
          <w:lang w:val="en-GB"/>
        </w:rPr>
        <w:t>reported to range f</w:t>
      </w:r>
      <w:r w:rsidR="005B442E" w:rsidRPr="005F2054">
        <w:rPr>
          <w:rFonts w:ascii="Arial" w:eastAsia="Times New Roman" w:hAnsi="Arial" w:cs="Arial"/>
          <w:color w:val="141413"/>
          <w:lang w:val="en-GB"/>
        </w:rPr>
        <w:t>rom 7% to 23</w:t>
      </w:r>
      <w:r w:rsidR="00FC0FE5" w:rsidRPr="0012755E">
        <w:rPr>
          <w:rFonts w:ascii="Arial" w:eastAsia="Times New Roman" w:hAnsi="Arial" w:cs="Arial"/>
          <w:lang w:val="en-GB"/>
        </w:rPr>
        <w:t>% (</w:t>
      </w:r>
      <w:r w:rsidR="006803F7" w:rsidRPr="0012755E">
        <w:rPr>
          <w:rFonts w:ascii="Arial" w:eastAsia="Times New Roman" w:hAnsi="Arial" w:cs="Arial"/>
          <w:lang w:val="en-GB"/>
        </w:rPr>
        <w:t>2</w:t>
      </w:r>
      <w:r w:rsidR="009A56AD" w:rsidRPr="0012755E">
        <w:rPr>
          <w:rFonts w:ascii="Arial" w:eastAsia="Times New Roman" w:hAnsi="Arial" w:cs="Arial"/>
          <w:lang w:val="en-GB"/>
        </w:rPr>
        <w:t>0</w:t>
      </w:r>
      <w:r w:rsidR="005B442E" w:rsidRPr="0012755E">
        <w:rPr>
          <w:rFonts w:ascii="Arial" w:eastAsia="Times New Roman" w:hAnsi="Arial" w:cs="Arial"/>
          <w:lang w:val="en-GB"/>
        </w:rPr>
        <w:t>).</w:t>
      </w:r>
      <w:r w:rsidR="002048CD" w:rsidRPr="0012755E">
        <w:rPr>
          <w:rFonts w:ascii="Arial" w:eastAsia="Times New Roman" w:hAnsi="Arial" w:cs="Arial"/>
          <w:lang w:val="en-GB"/>
        </w:rPr>
        <w:t xml:space="preserve"> Ol</w:t>
      </w:r>
      <w:r w:rsidR="005B442E" w:rsidRPr="0012755E">
        <w:rPr>
          <w:rFonts w:ascii="Arial" w:eastAsia="Times New Roman" w:hAnsi="Arial" w:cs="Arial"/>
          <w:lang w:val="en-GB"/>
        </w:rPr>
        <w:t>der studies</w:t>
      </w:r>
      <w:r w:rsidR="002048CD" w:rsidRPr="0012755E">
        <w:rPr>
          <w:rFonts w:ascii="Arial" w:eastAsia="Times New Roman" w:hAnsi="Arial" w:cs="Arial"/>
          <w:lang w:val="en-GB"/>
        </w:rPr>
        <w:t xml:space="preserve"> indicate that </w:t>
      </w:r>
      <w:r w:rsidRPr="0012755E">
        <w:rPr>
          <w:rFonts w:ascii="Arial" w:eastAsia="Times New Roman" w:hAnsi="Arial" w:cs="Arial"/>
          <w:lang w:val="en-GB"/>
        </w:rPr>
        <w:t xml:space="preserve">7% of these patients had lumbar osteoporosis and 20% </w:t>
      </w:r>
      <w:r w:rsidR="002048CD" w:rsidRPr="0012755E">
        <w:rPr>
          <w:rFonts w:ascii="Arial" w:eastAsia="Times New Roman" w:hAnsi="Arial" w:cs="Arial"/>
          <w:lang w:val="en-GB"/>
        </w:rPr>
        <w:t xml:space="preserve">had </w:t>
      </w:r>
      <w:r w:rsidR="00AD6BD2" w:rsidRPr="0012755E">
        <w:rPr>
          <w:rFonts w:ascii="Arial" w:eastAsia="Times New Roman" w:hAnsi="Arial" w:cs="Arial"/>
          <w:lang w:val="en-GB"/>
        </w:rPr>
        <w:t>hip osteoporosis</w:t>
      </w:r>
      <w:r w:rsidRPr="0012755E">
        <w:rPr>
          <w:rFonts w:ascii="Arial" w:eastAsia="Times New Roman" w:hAnsi="Arial" w:cs="Arial"/>
          <w:lang w:val="en-GB"/>
        </w:rPr>
        <w:t xml:space="preserve">, </w:t>
      </w:r>
      <w:r w:rsidR="002048CD" w:rsidRPr="0012755E">
        <w:rPr>
          <w:rFonts w:ascii="Arial" w:eastAsia="Times New Roman" w:hAnsi="Arial" w:cs="Arial"/>
          <w:lang w:val="en-GB"/>
        </w:rPr>
        <w:t xml:space="preserve">meaning that fewer than </w:t>
      </w:r>
      <w:r w:rsidRPr="0012755E">
        <w:rPr>
          <w:rFonts w:ascii="Arial" w:eastAsia="Times New Roman" w:hAnsi="Arial" w:cs="Arial"/>
          <w:lang w:val="en-GB"/>
        </w:rPr>
        <w:t>50% had normal BMD (</w:t>
      </w:r>
      <w:r w:rsidR="009A56AD" w:rsidRPr="0012755E">
        <w:rPr>
          <w:rFonts w:ascii="Arial" w:eastAsia="Times New Roman" w:hAnsi="Arial" w:cs="Arial"/>
          <w:lang w:val="en-GB"/>
        </w:rPr>
        <w:t>21</w:t>
      </w:r>
      <w:r w:rsidRPr="0012755E">
        <w:rPr>
          <w:rFonts w:ascii="Arial" w:eastAsia="Times New Roman" w:hAnsi="Arial" w:cs="Arial"/>
          <w:lang w:val="en-GB"/>
        </w:rPr>
        <w:t>).</w:t>
      </w:r>
      <w:r w:rsidR="004A66E9">
        <w:rPr>
          <w:rFonts w:ascii="Arial" w:eastAsia="Times New Roman" w:hAnsi="Arial" w:cs="Arial"/>
          <w:lang w:val="en-GB"/>
        </w:rPr>
        <w:t xml:space="preserve"> </w:t>
      </w:r>
      <w:r w:rsidRPr="0012755E">
        <w:rPr>
          <w:rFonts w:ascii="Arial" w:eastAsia="Times New Roman" w:hAnsi="Arial" w:cs="Arial"/>
          <w:lang w:val="en-GB"/>
        </w:rPr>
        <w:t>In a</w:t>
      </w:r>
      <w:r w:rsidR="005B442E" w:rsidRPr="0012755E">
        <w:rPr>
          <w:rFonts w:ascii="Arial" w:eastAsia="Times New Roman" w:hAnsi="Arial" w:cs="Arial"/>
          <w:lang w:val="en-GB"/>
        </w:rPr>
        <w:t>nother</w:t>
      </w:r>
      <w:r w:rsidRPr="0012755E">
        <w:rPr>
          <w:rFonts w:ascii="Arial" w:eastAsia="Times New Roman" w:hAnsi="Arial" w:cs="Arial"/>
          <w:lang w:val="en-GB"/>
        </w:rPr>
        <w:t xml:space="preserve"> study </w:t>
      </w:r>
      <w:r w:rsidR="002048CD" w:rsidRPr="0012755E">
        <w:rPr>
          <w:rFonts w:ascii="Arial" w:eastAsia="Times New Roman" w:hAnsi="Arial" w:cs="Arial"/>
          <w:lang w:val="en-GB"/>
        </w:rPr>
        <w:lastRenderedPageBreak/>
        <w:t>of</w:t>
      </w:r>
      <w:r w:rsidRPr="0012755E">
        <w:rPr>
          <w:rFonts w:ascii="Arial" w:eastAsia="Times New Roman" w:hAnsi="Arial" w:cs="Arial"/>
          <w:lang w:val="en-GB"/>
        </w:rPr>
        <w:t xml:space="preserve"> 51 </w:t>
      </w:r>
      <w:r w:rsidR="005B442E" w:rsidRPr="0012755E">
        <w:rPr>
          <w:rFonts w:ascii="Arial" w:eastAsia="Times New Roman" w:hAnsi="Arial" w:cs="Arial"/>
          <w:lang w:val="en-GB"/>
        </w:rPr>
        <w:t>cardiac transplant</w:t>
      </w:r>
      <w:r w:rsidR="002048CD" w:rsidRPr="0012755E">
        <w:rPr>
          <w:rFonts w:ascii="Arial" w:eastAsia="Times New Roman" w:hAnsi="Arial" w:cs="Arial"/>
          <w:lang w:val="en-GB"/>
        </w:rPr>
        <w:t xml:space="preserve"> candidates, the prevalence of osteoporosis w</w:t>
      </w:r>
      <w:r w:rsidRPr="0012755E">
        <w:rPr>
          <w:rFonts w:ascii="Arial" w:eastAsia="Times New Roman" w:hAnsi="Arial" w:cs="Arial"/>
          <w:lang w:val="en-GB"/>
        </w:rPr>
        <w:t>as 27%</w:t>
      </w:r>
      <w:r w:rsidR="002048CD" w:rsidRPr="0012755E">
        <w:rPr>
          <w:rFonts w:ascii="Arial" w:eastAsia="Times New Roman" w:hAnsi="Arial" w:cs="Arial"/>
          <w:lang w:val="en-GB"/>
        </w:rPr>
        <w:t xml:space="preserve">, with longer </w:t>
      </w:r>
      <w:r w:rsidRPr="0012755E">
        <w:rPr>
          <w:rFonts w:ascii="Arial" w:eastAsia="Times New Roman" w:hAnsi="Arial" w:cs="Arial"/>
          <w:lang w:val="en-GB"/>
        </w:rPr>
        <w:t>waiting time</w:t>
      </w:r>
      <w:r w:rsidR="002048CD" w:rsidRPr="0012755E">
        <w:rPr>
          <w:rFonts w:ascii="Arial" w:eastAsia="Times New Roman" w:hAnsi="Arial" w:cs="Arial"/>
          <w:lang w:val="en-GB"/>
        </w:rPr>
        <w:t>s</w:t>
      </w:r>
      <w:r w:rsidRPr="0012755E">
        <w:rPr>
          <w:rFonts w:ascii="Arial" w:eastAsia="Times New Roman" w:hAnsi="Arial" w:cs="Arial"/>
          <w:lang w:val="en-GB"/>
        </w:rPr>
        <w:t xml:space="preserve"> before</w:t>
      </w:r>
      <w:r w:rsidR="008E5024" w:rsidRPr="0012755E">
        <w:rPr>
          <w:rFonts w:ascii="Arial" w:eastAsia="Times New Roman" w:hAnsi="Arial" w:cs="Arial"/>
          <w:lang w:val="en-GB"/>
        </w:rPr>
        <w:t xml:space="preserve"> transplantation </w:t>
      </w:r>
      <w:r w:rsidR="002048CD" w:rsidRPr="0012755E">
        <w:rPr>
          <w:rFonts w:ascii="Arial" w:eastAsia="Times New Roman" w:hAnsi="Arial" w:cs="Arial"/>
          <w:lang w:val="en-GB"/>
        </w:rPr>
        <w:t xml:space="preserve">identified as a </w:t>
      </w:r>
      <w:r w:rsidR="00472D4A" w:rsidRPr="0012755E">
        <w:rPr>
          <w:rFonts w:ascii="Arial" w:eastAsia="Times New Roman" w:hAnsi="Arial" w:cs="Arial"/>
          <w:lang w:val="en-GB"/>
        </w:rPr>
        <w:t>major risk</w:t>
      </w:r>
      <w:r w:rsidR="00926F40" w:rsidRPr="0012755E">
        <w:rPr>
          <w:rFonts w:ascii="Arial" w:eastAsia="Times New Roman" w:hAnsi="Arial" w:cs="Arial"/>
          <w:lang w:val="en-GB"/>
        </w:rPr>
        <w:t xml:space="preserve"> factor </w:t>
      </w:r>
      <w:r w:rsidR="00472D4A" w:rsidRPr="0012755E">
        <w:rPr>
          <w:rFonts w:ascii="Arial" w:eastAsia="Times New Roman" w:hAnsi="Arial" w:cs="Arial"/>
          <w:lang w:val="en-GB"/>
        </w:rPr>
        <w:t xml:space="preserve">for </w:t>
      </w:r>
      <w:r w:rsidR="002048CD" w:rsidRPr="0012755E">
        <w:rPr>
          <w:rFonts w:ascii="Arial" w:eastAsia="Times New Roman" w:hAnsi="Arial" w:cs="Arial"/>
          <w:lang w:val="en-GB"/>
        </w:rPr>
        <w:t xml:space="preserve">its </w:t>
      </w:r>
      <w:r w:rsidR="00472D4A" w:rsidRPr="0012755E">
        <w:rPr>
          <w:rFonts w:ascii="Arial" w:eastAsia="Times New Roman" w:hAnsi="Arial" w:cs="Arial"/>
          <w:lang w:val="en-GB"/>
        </w:rPr>
        <w:t>development</w:t>
      </w:r>
      <w:r w:rsidR="002048CD" w:rsidRPr="0012755E">
        <w:rPr>
          <w:rFonts w:ascii="Arial" w:eastAsia="Times New Roman" w:hAnsi="Arial" w:cs="Arial"/>
          <w:lang w:val="en-GB"/>
        </w:rPr>
        <w:t xml:space="preserve">. </w:t>
      </w:r>
      <w:r w:rsidR="00472D4A" w:rsidRPr="0012755E">
        <w:rPr>
          <w:rFonts w:ascii="Arial" w:eastAsia="Times New Roman" w:hAnsi="Arial" w:cs="Arial"/>
          <w:lang w:val="en-GB"/>
        </w:rPr>
        <w:t>(</w:t>
      </w:r>
      <w:r w:rsidR="001356ED" w:rsidRPr="0012755E">
        <w:rPr>
          <w:rFonts w:ascii="Arial" w:eastAsia="Times New Roman" w:hAnsi="Arial" w:cs="Arial"/>
          <w:lang w:val="en-GB"/>
        </w:rPr>
        <w:t>22</w:t>
      </w:r>
      <w:r w:rsidR="00472D4A" w:rsidRPr="0012755E">
        <w:rPr>
          <w:rFonts w:ascii="Arial" w:eastAsia="Times New Roman" w:hAnsi="Arial" w:cs="Arial"/>
          <w:lang w:val="en-GB"/>
        </w:rPr>
        <w:t>).</w:t>
      </w:r>
      <w:r w:rsidR="0081682D" w:rsidRPr="0012755E">
        <w:rPr>
          <w:rFonts w:ascii="Arial" w:eastAsia="Times New Roman" w:hAnsi="Arial" w:cs="Arial"/>
          <w:lang w:val="en-GB"/>
        </w:rPr>
        <w:t xml:space="preserve"> </w:t>
      </w:r>
    </w:p>
    <w:p w14:paraId="27BCBBD7" w14:textId="77777777" w:rsidR="0012755E" w:rsidRPr="0012755E" w:rsidRDefault="0012755E" w:rsidP="005F2054">
      <w:pPr>
        <w:spacing w:after="0"/>
        <w:contextualSpacing/>
        <w:rPr>
          <w:rFonts w:ascii="Arial" w:eastAsia="Times New Roman" w:hAnsi="Arial" w:cs="Arial"/>
          <w:lang w:val="en-GB"/>
        </w:rPr>
      </w:pPr>
    </w:p>
    <w:p w14:paraId="64FF7AD3" w14:textId="58755543" w:rsidR="006B06BA" w:rsidRDefault="00DF7AA7" w:rsidP="005F2054">
      <w:pPr>
        <w:spacing w:after="0"/>
        <w:contextualSpacing/>
        <w:rPr>
          <w:rFonts w:ascii="Arial" w:eastAsia="Times New Roman" w:hAnsi="Arial" w:cs="Arial"/>
          <w:color w:val="141413"/>
          <w:lang w:val="en-GB"/>
        </w:rPr>
      </w:pPr>
      <w:r w:rsidRPr="005F2054">
        <w:rPr>
          <w:rFonts w:ascii="Arial" w:eastAsia="Times New Roman" w:hAnsi="Arial" w:cs="Arial"/>
          <w:lang w:val="en-GB"/>
        </w:rPr>
        <w:t>Interestingly, despite</w:t>
      </w:r>
      <w:r w:rsidR="0021092C" w:rsidRPr="005F2054">
        <w:rPr>
          <w:rFonts w:ascii="Arial" w:eastAsia="Times New Roman" w:hAnsi="Arial" w:cs="Arial"/>
          <w:lang w:val="en-GB"/>
        </w:rPr>
        <w:t xml:space="preserve"> </w:t>
      </w:r>
      <w:r w:rsidR="00972D07" w:rsidRPr="005F2054">
        <w:rPr>
          <w:rFonts w:ascii="Arial" w:eastAsia="Times New Roman" w:hAnsi="Arial" w:cs="Arial"/>
          <w:lang w:val="en-GB"/>
        </w:rPr>
        <w:t>80</w:t>
      </w:r>
      <w:r w:rsidR="00972D07" w:rsidRPr="005F2054">
        <w:rPr>
          <w:rFonts w:ascii="Arial" w:eastAsia="Times New Roman" w:hAnsi="Arial" w:cs="Arial"/>
          <w:color w:val="141413"/>
          <w:lang w:val="en-GB"/>
        </w:rPr>
        <w:t xml:space="preserve">% of these patients </w:t>
      </w:r>
      <w:r w:rsidR="0021092C" w:rsidRPr="005F2054">
        <w:rPr>
          <w:rFonts w:ascii="Arial" w:eastAsia="Times New Roman" w:hAnsi="Arial" w:cs="Arial"/>
          <w:color w:val="141413"/>
          <w:lang w:val="en-GB"/>
        </w:rPr>
        <w:t>having</w:t>
      </w:r>
      <w:r w:rsidR="00972D07" w:rsidRPr="005F2054">
        <w:rPr>
          <w:rFonts w:ascii="Arial" w:eastAsia="Times New Roman" w:hAnsi="Arial" w:cs="Arial"/>
          <w:color w:val="141413"/>
          <w:lang w:val="en-GB"/>
        </w:rPr>
        <w:t xml:space="preserve"> vitamin D </w:t>
      </w:r>
      <w:r w:rsidR="00FC0FE5" w:rsidRPr="005F2054">
        <w:rPr>
          <w:rFonts w:ascii="Arial" w:eastAsia="Times New Roman" w:hAnsi="Arial" w:cs="Arial"/>
          <w:color w:val="141413"/>
          <w:lang w:val="en-GB"/>
        </w:rPr>
        <w:t>deficiency, 55</w:t>
      </w:r>
      <w:r w:rsidR="00AA75D0" w:rsidRPr="005F2054">
        <w:rPr>
          <w:rFonts w:ascii="Arial" w:eastAsia="Times New Roman" w:hAnsi="Arial" w:cs="Arial"/>
          <w:color w:val="141413"/>
          <w:lang w:val="en-GB"/>
        </w:rPr>
        <w:t>%</w:t>
      </w:r>
      <w:r w:rsidR="00972D07" w:rsidRPr="005F2054">
        <w:rPr>
          <w:rFonts w:ascii="Arial" w:eastAsia="Times New Roman" w:hAnsi="Arial" w:cs="Arial"/>
          <w:color w:val="141413"/>
          <w:lang w:val="en-GB"/>
        </w:rPr>
        <w:t xml:space="preserve"> of cardiac transplant candidates, had BMD </w:t>
      </w:r>
      <w:r w:rsidRPr="005F2054">
        <w:rPr>
          <w:rFonts w:ascii="Arial" w:eastAsia="Times New Roman" w:hAnsi="Arial" w:cs="Arial"/>
          <w:color w:val="141413"/>
          <w:lang w:val="en-GB"/>
        </w:rPr>
        <w:t xml:space="preserve">levels comparable to those of </w:t>
      </w:r>
      <w:r w:rsidR="00972D07" w:rsidRPr="005F2054">
        <w:rPr>
          <w:rFonts w:ascii="Arial" w:eastAsia="Times New Roman" w:hAnsi="Arial" w:cs="Arial"/>
          <w:color w:val="141413"/>
          <w:lang w:val="en-GB"/>
        </w:rPr>
        <w:t xml:space="preserve">healthy </w:t>
      </w:r>
      <w:r w:rsidRPr="0012755E">
        <w:rPr>
          <w:rFonts w:ascii="Arial" w:eastAsia="Times New Roman" w:hAnsi="Arial" w:cs="Arial"/>
          <w:lang w:val="en-GB"/>
        </w:rPr>
        <w:t>individuals (</w:t>
      </w:r>
      <w:r w:rsidR="001356ED" w:rsidRPr="0012755E">
        <w:rPr>
          <w:rFonts w:ascii="Arial" w:eastAsia="Times New Roman" w:hAnsi="Arial" w:cs="Arial"/>
          <w:lang w:val="en-GB"/>
        </w:rPr>
        <w:t>23</w:t>
      </w:r>
      <w:r w:rsidR="00972D07" w:rsidRPr="0012755E">
        <w:rPr>
          <w:rFonts w:ascii="Arial" w:eastAsia="Times New Roman" w:hAnsi="Arial" w:cs="Arial"/>
          <w:lang w:val="en-GB"/>
        </w:rPr>
        <w:t>).</w:t>
      </w:r>
      <w:r w:rsidR="00916497" w:rsidRPr="0012755E">
        <w:rPr>
          <w:rFonts w:ascii="Arial" w:eastAsia="Times New Roman" w:hAnsi="Arial" w:cs="Arial"/>
          <w:lang w:val="en-GB"/>
        </w:rPr>
        <w:t xml:space="preserve"> </w:t>
      </w:r>
      <w:r w:rsidRPr="0012755E">
        <w:rPr>
          <w:rFonts w:ascii="Arial" w:eastAsia="Times New Roman" w:hAnsi="Arial" w:cs="Arial"/>
          <w:lang w:val="en-GB"/>
        </w:rPr>
        <w:t xml:space="preserve">This discrepancy may be explained by </w:t>
      </w:r>
      <w:r w:rsidR="00972D07" w:rsidRPr="0012755E">
        <w:rPr>
          <w:rFonts w:ascii="Arial" w:eastAsia="Times New Roman" w:hAnsi="Arial" w:cs="Arial"/>
          <w:lang w:val="en-GB"/>
        </w:rPr>
        <w:t xml:space="preserve">seasonal variations and the fact that these patients were ambulatory </w:t>
      </w:r>
      <w:r w:rsidRPr="0012755E">
        <w:rPr>
          <w:rFonts w:ascii="Arial" w:eastAsia="Times New Roman" w:hAnsi="Arial" w:cs="Arial"/>
          <w:lang w:val="en-GB"/>
        </w:rPr>
        <w:t xml:space="preserve">rather than on the </w:t>
      </w:r>
      <w:r w:rsidR="00972D07" w:rsidRPr="0012755E">
        <w:rPr>
          <w:rFonts w:ascii="Arial" w:eastAsia="Times New Roman" w:hAnsi="Arial" w:cs="Arial"/>
          <w:lang w:val="en-GB"/>
        </w:rPr>
        <w:t>transplant list</w:t>
      </w:r>
      <w:r w:rsidRPr="0012755E">
        <w:rPr>
          <w:rFonts w:ascii="Arial" w:eastAsia="Times New Roman" w:hAnsi="Arial" w:cs="Arial"/>
          <w:lang w:val="en-GB"/>
        </w:rPr>
        <w:t>.</w:t>
      </w:r>
      <w:r w:rsidR="00972D07" w:rsidRPr="0012755E">
        <w:rPr>
          <w:rFonts w:ascii="Arial" w:eastAsia="Times New Roman" w:hAnsi="Arial" w:cs="Arial"/>
          <w:lang w:val="en-GB"/>
        </w:rPr>
        <w:t xml:space="preserve"> </w:t>
      </w:r>
      <w:r w:rsidR="00472D4A" w:rsidRPr="0012755E">
        <w:rPr>
          <w:rFonts w:ascii="Arial" w:eastAsia="Times New Roman" w:hAnsi="Arial" w:cs="Arial"/>
          <w:lang w:val="en-GB"/>
        </w:rPr>
        <w:t>It is therefore recommend</w:t>
      </w:r>
      <w:r w:rsidR="007C1678" w:rsidRPr="0012755E">
        <w:rPr>
          <w:rFonts w:ascii="Arial" w:eastAsia="Times New Roman" w:hAnsi="Arial" w:cs="Arial"/>
          <w:lang w:val="en-GB"/>
        </w:rPr>
        <w:t>e</w:t>
      </w:r>
      <w:r w:rsidR="00472D4A" w:rsidRPr="0012755E">
        <w:rPr>
          <w:rFonts w:ascii="Arial" w:eastAsia="Times New Roman" w:hAnsi="Arial" w:cs="Arial"/>
          <w:lang w:val="en-GB"/>
        </w:rPr>
        <w:t>d that patient</w:t>
      </w:r>
      <w:r w:rsidR="007C1678" w:rsidRPr="0012755E">
        <w:rPr>
          <w:rFonts w:ascii="Arial" w:eastAsia="Times New Roman" w:hAnsi="Arial" w:cs="Arial"/>
          <w:lang w:val="en-GB"/>
        </w:rPr>
        <w:t>s</w:t>
      </w:r>
      <w:r w:rsidR="00472D4A" w:rsidRPr="0012755E">
        <w:rPr>
          <w:rFonts w:ascii="Arial" w:eastAsia="Times New Roman" w:hAnsi="Arial" w:cs="Arial"/>
          <w:lang w:val="en-GB"/>
        </w:rPr>
        <w:t xml:space="preserve"> </w:t>
      </w:r>
      <w:r w:rsidR="007C1678" w:rsidRPr="0012755E">
        <w:rPr>
          <w:rFonts w:ascii="Arial" w:eastAsia="Times New Roman" w:hAnsi="Arial" w:cs="Arial"/>
          <w:lang w:val="en-GB"/>
        </w:rPr>
        <w:t>o</w:t>
      </w:r>
      <w:r w:rsidR="00472D4A" w:rsidRPr="0012755E">
        <w:rPr>
          <w:rFonts w:ascii="Arial" w:eastAsia="Times New Roman" w:hAnsi="Arial" w:cs="Arial"/>
          <w:lang w:val="en-GB"/>
        </w:rPr>
        <w:t>n the waiting list be evaluated for bone loss</w:t>
      </w:r>
      <w:r w:rsidR="00916497" w:rsidRPr="0012755E">
        <w:rPr>
          <w:rFonts w:ascii="Arial" w:eastAsia="Times New Roman" w:hAnsi="Arial" w:cs="Arial"/>
          <w:lang w:val="en-GB"/>
        </w:rPr>
        <w:t xml:space="preserve"> prevention</w:t>
      </w:r>
      <w:r w:rsidR="00472D4A" w:rsidRPr="0012755E">
        <w:rPr>
          <w:rFonts w:ascii="Arial" w:eastAsia="Times New Roman" w:hAnsi="Arial" w:cs="Arial"/>
          <w:lang w:val="en-GB"/>
        </w:rPr>
        <w:t>.</w:t>
      </w:r>
      <w:r w:rsidR="00923976" w:rsidRPr="0012755E">
        <w:rPr>
          <w:rFonts w:ascii="Arial" w:eastAsia="Times New Roman" w:hAnsi="Arial" w:cs="Arial"/>
          <w:lang w:val="en-GB"/>
        </w:rPr>
        <w:t xml:space="preserve"> </w:t>
      </w:r>
      <w:r w:rsidR="002C2D9C" w:rsidRPr="0012755E">
        <w:rPr>
          <w:rFonts w:ascii="Arial" w:eastAsia="Times New Roman" w:hAnsi="Arial" w:cs="Arial"/>
          <w:lang w:val="en-GB"/>
        </w:rPr>
        <w:t>Th</w:t>
      </w:r>
      <w:r w:rsidR="00916497" w:rsidRPr="0012755E">
        <w:rPr>
          <w:rFonts w:ascii="Arial" w:eastAsia="Times New Roman" w:hAnsi="Arial" w:cs="Arial"/>
          <w:lang w:val="en-GB"/>
        </w:rPr>
        <w:t>e</w:t>
      </w:r>
      <w:r w:rsidR="002C2D9C" w:rsidRPr="0012755E">
        <w:rPr>
          <w:rFonts w:ascii="Arial" w:eastAsia="Times New Roman" w:hAnsi="Arial" w:cs="Arial"/>
          <w:lang w:val="en-GB"/>
        </w:rPr>
        <w:t xml:space="preserve"> </w:t>
      </w:r>
      <w:r w:rsidR="00916497" w:rsidRPr="0012755E">
        <w:rPr>
          <w:rFonts w:ascii="Arial" w:eastAsia="Times New Roman" w:hAnsi="Arial" w:cs="Arial"/>
          <w:lang w:val="en-GB"/>
        </w:rPr>
        <w:t xml:space="preserve">high </w:t>
      </w:r>
      <w:r w:rsidR="002C2D9C" w:rsidRPr="0012755E">
        <w:rPr>
          <w:rFonts w:ascii="Arial" w:eastAsia="Times New Roman" w:hAnsi="Arial" w:cs="Arial"/>
          <w:lang w:val="en-GB"/>
        </w:rPr>
        <w:t xml:space="preserve">prevalence of osteoporosis </w:t>
      </w:r>
      <w:r w:rsidR="00916497" w:rsidRPr="0012755E">
        <w:rPr>
          <w:rFonts w:ascii="Arial" w:eastAsia="Times New Roman" w:hAnsi="Arial" w:cs="Arial"/>
          <w:lang w:val="en-GB"/>
        </w:rPr>
        <w:t xml:space="preserve">in this population is linked </w:t>
      </w:r>
      <w:r w:rsidR="00F80A79" w:rsidRPr="0012755E">
        <w:rPr>
          <w:rFonts w:ascii="Arial" w:eastAsia="Times New Roman" w:hAnsi="Arial" w:cs="Arial"/>
          <w:lang w:val="en-GB"/>
        </w:rPr>
        <w:t>to chronic illness, poor nutr</w:t>
      </w:r>
      <w:r w:rsidR="006C6B3B" w:rsidRPr="0012755E">
        <w:rPr>
          <w:rFonts w:ascii="Arial" w:eastAsia="Times New Roman" w:hAnsi="Arial" w:cs="Arial"/>
          <w:lang w:val="en-GB"/>
        </w:rPr>
        <w:t>it</w:t>
      </w:r>
      <w:r w:rsidR="00F80A79" w:rsidRPr="0012755E">
        <w:rPr>
          <w:rFonts w:ascii="Arial" w:eastAsia="Times New Roman" w:hAnsi="Arial" w:cs="Arial"/>
          <w:lang w:val="en-GB"/>
        </w:rPr>
        <w:t>ion, limited mobility, weight loss, gonadal dysfunction</w:t>
      </w:r>
      <w:r w:rsidR="006C6B3B" w:rsidRPr="0012755E">
        <w:rPr>
          <w:rFonts w:ascii="Arial" w:eastAsia="Times New Roman" w:hAnsi="Arial" w:cs="Arial"/>
          <w:lang w:val="en-GB"/>
        </w:rPr>
        <w:t>,</w:t>
      </w:r>
      <w:r w:rsidR="00F80A79" w:rsidRPr="0012755E">
        <w:rPr>
          <w:rFonts w:ascii="Arial" w:eastAsia="Times New Roman" w:hAnsi="Arial" w:cs="Arial"/>
          <w:lang w:val="en-GB"/>
        </w:rPr>
        <w:t xml:space="preserve"> and medi</w:t>
      </w:r>
      <w:r w:rsidR="00641E0F" w:rsidRPr="0012755E">
        <w:rPr>
          <w:rFonts w:ascii="Arial" w:eastAsia="Times New Roman" w:hAnsi="Arial" w:cs="Arial"/>
          <w:lang w:val="en-GB"/>
        </w:rPr>
        <w:t xml:space="preserve">cations </w:t>
      </w:r>
      <w:r w:rsidR="00916497" w:rsidRPr="0012755E">
        <w:rPr>
          <w:rFonts w:ascii="Arial" w:eastAsia="Times New Roman" w:hAnsi="Arial" w:cs="Arial"/>
          <w:lang w:val="en-GB"/>
        </w:rPr>
        <w:t>that negatively affect bone health</w:t>
      </w:r>
      <w:r w:rsidR="00F80A79" w:rsidRPr="0012755E">
        <w:rPr>
          <w:rFonts w:ascii="Arial" w:eastAsia="Times New Roman" w:hAnsi="Arial" w:cs="Arial"/>
          <w:lang w:val="en-GB"/>
        </w:rPr>
        <w:t xml:space="preserve"> (</w:t>
      </w:r>
      <w:r w:rsidR="001356ED" w:rsidRPr="0012755E">
        <w:rPr>
          <w:rFonts w:ascii="Arial" w:eastAsia="Times New Roman" w:hAnsi="Arial" w:cs="Arial"/>
          <w:lang w:val="en-GB"/>
        </w:rPr>
        <w:t>24</w:t>
      </w:r>
      <w:r w:rsidR="00F80A79" w:rsidRPr="0012755E">
        <w:rPr>
          <w:rFonts w:ascii="Arial" w:eastAsia="Times New Roman" w:hAnsi="Arial" w:cs="Arial"/>
          <w:lang w:val="en-GB"/>
        </w:rPr>
        <w:t>)</w:t>
      </w:r>
      <w:r w:rsidR="00AE5914" w:rsidRPr="0012755E">
        <w:rPr>
          <w:rFonts w:ascii="Arial" w:eastAsia="Times New Roman" w:hAnsi="Arial" w:cs="Arial"/>
          <w:lang w:val="en-GB"/>
        </w:rPr>
        <w:t xml:space="preserve">. </w:t>
      </w:r>
      <w:r w:rsidR="00926F40" w:rsidRPr="0012755E">
        <w:rPr>
          <w:rFonts w:ascii="Arial" w:eastAsia="Times New Roman" w:hAnsi="Arial" w:cs="Arial"/>
          <w:lang w:val="en-GB"/>
        </w:rPr>
        <w:t>Additionally</w:t>
      </w:r>
      <w:r w:rsidR="00DC0F6E" w:rsidRPr="0012755E">
        <w:rPr>
          <w:rFonts w:ascii="Arial" w:eastAsia="Times New Roman" w:hAnsi="Arial" w:cs="Arial"/>
          <w:lang w:val="en-GB"/>
        </w:rPr>
        <w:t xml:space="preserve">, </w:t>
      </w:r>
      <w:r w:rsidR="00023BF1" w:rsidRPr="0012755E">
        <w:rPr>
          <w:rFonts w:ascii="Arial" w:eastAsia="Times New Roman" w:hAnsi="Arial" w:cs="Arial"/>
          <w:lang w:val="en-GB"/>
        </w:rPr>
        <w:t xml:space="preserve">patients with congestive heart failure, are </w:t>
      </w:r>
      <w:r w:rsidR="00DC0F6E" w:rsidRPr="0012755E">
        <w:rPr>
          <w:rFonts w:ascii="Arial" w:eastAsia="Times New Roman" w:hAnsi="Arial" w:cs="Arial"/>
          <w:lang w:val="en-GB"/>
        </w:rPr>
        <w:t>often tre</w:t>
      </w:r>
      <w:r w:rsidR="00023BF1" w:rsidRPr="0012755E">
        <w:rPr>
          <w:rFonts w:ascii="Arial" w:eastAsia="Times New Roman" w:hAnsi="Arial" w:cs="Arial"/>
          <w:lang w:val="en-GB"/>
        </w:rPr>
        <w:t xml:space="preserve">ated with </w:t>
      </w:r>
      <w:r w:rsidR="00DC0F6E" w:rsidRPr="0012755E">
        <w:rPr>
          <w:rFonts w:ascii="Arial" w:eastAsia="Times New Roman" w:hAnsi="Arial" w:cs="Arial"/>
          <w:lang w:val="en-GB"/>
        </w:rPr>
        <w:t xml:space="preserve">medications </w:t>
      </w:r>
      <w:r w:rsidR="00DC0F6E" w:rsidRPr="005F2054">
        <w:rPr>
          <w:rFonts w:ascii="Arial" w:eastAsia="Times New Roman" w:hAnsi="Arial" w:cs="Arial"/>
          <w:color w:val="141413"/>
          <w:lang w:val="en-GB"/>
        </w:rPr>
        <w:t xml:space="preserve">such as </w:t>
      </w:r>
      <w:r w:rsidR="00023BF1" w:rsidRPr="005F2054">
        <w:rPr>
          <w:rFonts w:ascii="Arial" w:eastAsia="Times New Roman" w:hAnsi="Arial" w:cs="Arial"/>
          <w:color w:val="141413"/>
          <w:lang w:val="en-GB"/>
        </w:rPr>
        <w:t>loop diuretics</w:t>
      </w:r>
      <w:r w:rsidR="00DC0F6E" w:rsidRPr="005F2054">
        <w:rPr>
          <w:rFonts w:ascii="Arial" w:eastAsia="Times New Roman" w:hAnsi="Arial" w:cs="Arial"/>
          <w:color w:val="141413"/>
          <w:lang w:val="en-GB"/>
        </w:rPr>
        <w:t xml:space="preserve">, which increase </w:t>
      </w:r>
      <w:r w:rsidR="00023BF1" w:rsidRPr="005F2054">
        <w:rPr>
          <w:rFonts w:ascii="Arial" w:eastAsia="Times New Roman" w:hAnsi="Arial" w:cs="Arial"/>
          <w:color w:val="141413"/>
          <w:lang w:val="en-GB"/>
        </w:rPr>
        <w:t>urinary calcium losses</w:t>
      </w:r>
      <w:r w:rsidR="00DC0F6E" w:rsidRPr="005F2054">
        <w:rPr>
          <w:rFonts w:ascii="Arial" w:eastAsia="Times New Roman" w:hAnsi="Arial" w:cs="Arial"/>
          <w:color w:val="141413"/>
          <w:lang w:val="en-GB"/>
        </w:rPr>
        <w:t xml:space="preserve">. Furthermore, </w:t>
      </w:r>
      <w:proofErr w:type="spellStart"/>
      <w:r w:rsidR="00DC0F6E" w:rsidRPr="005F2054">
        <w:rPr>
          <w:rFonts w:ascii="Arial" w:eastAsia="Times New Roman" w:hAnsi="Arial" w:cs="Arial"/>
          <w:color w:val="141413"/>
          <w:lang w:val="en-GB"/>
        </w:rPr>
        <w:t>azotemia</w:t>
      </w:r>
      <w:proofErr w:type="spellEnd"/>
      <w:r w:rsidR="00023BF1" w:rsidRPr="005F2054">
        <w:rPr>
          <w:rFonts w:ascii="Arial" w:eastAsia="Times New Roman" w:hAnsi="Arial" w:cs="Arial"/>
          <w:color w:val="141413"/>
          <w:lang w:val="en-GB"/>
        </w:rPr>
        <w:t xml:space="preserve"> is known to impair vitamin D metabolism </w:t>
      </w:r>
      <w:r w:rsidR="00DC0F6E" w:rsidRPr="005F2054">
        <w:rPr>
          <w:rFonts w:ascii="Arial" w:eastAsia="Times New Roman" w:hAnsi="Arial" w:cs="Arial"/>
          <w:color w:val="141413"/>
          <w:lang w:val="en-GB"/>
        </w:rPr>
        <w:t>leading to elevated PTH levels and further contributing to bone loss.</w:t>
      </w:r>
    </w:p>
    <w:p w14:paraId="6C83CFF3" w14:textId="77777777" w:rsidR="0012755E" w:rsidRPr="005F2054" w:rsidRDefault="0012755E" w:rsidP="005F2054">
      <w:pPr>
        <w:spacing w:after="0"/>
        <w:contextualSpacing/>
        <w:rPr>
          <w:rFonts w:ascii="Arial" w:eastAsia="Times New Roman" w:hAnsi="Arial" w:cs="Arial"/>
          <w:color w:val="141413"/>
          <w:lang w:val="en-GB"/>
        </w:rPr>
      </w:pPr>
    </w:p>
    <w:p w14:paraId="41B59C55" w14:textId="1D13E179" w:rsidR="0012755E" w:rsidRDefault="00817625" w:rsidP="005F2054">
      <w:pPr>
        <w:spacing w:after="0"/>
        <w:contextualSpacing/>
        <w:rPr>
          <w:rFonts w:ascii="Arial" w:eastAsia="Times New Roman" w:hAnsi="Arial" w:cs="Arial"/>
          <w:b/>
          <w:color w:val="4F6228" w:themeColor="accent3" w:themeShade="80"/>
          <w:lang w:val="en-GB"/>
        </w:rPr>
      </w:pPr>
      <w:r w:rsidRPr="005F2054">
        <w:rPr>
          <w:rFonts w:ascii="Arial" w:eastAsia="Times New Roman" w:hAnsi="Arial" w:cs="Arial"/>
          <w:b/>
          <w:color w:val="4F6228" w:themeColor="accent3" w:themeShade="80"/>
          <w:lang w:val="en-GB"/>
        </w:rPr>
        <w:t>L</w:t>
      </w:r>
      <w:r w:rsidR="0012755E">
        <w:rPr>
          <w:rFonts w:ascii="Arial" w:eastAsia="Times New Roman" w:hAnsi="Arial" w:cs="Arial"/>
          <w:b/>
          <w:color w:val="4F6228" w:themeColor="accent3" w:themeShade="80"/>
          <w:lang w:val="en-GB"/>
        </w:rPr>
        <w:t xml:space="preserve">ung Disease </w:t>
      </w:r>
    </w:p>
    <w:p w14:paraId="6DD7ADC1" w14:textId="77777777" w:rsidR="0012755E" w:rsidRDefault="0012755E" w:rsidP="005F2054">
      <w:pPr>
        <w:spacing w:after="0"/>
        <w:contextualSpacing/>
        <w:rPr>
          <w:rFonts w:ascii="Arial" w:eastAsia="Times New Roman" w:hAnsi="Arial" w:cs="Arial"/>
          <w:color w:val="141413"/>
          <w:lang w:val="en-GB"/>
        </w:rPr>
      </w:pPr>
    </w:p>
    <w:p w14:paraId="2830598D" w14:textId="48C5893F" w:rsidR="002800CD" w:rsidRDefault="00E55EC5" w:rsidP="005F2054">
      <w:pPr>
        <w:spacing w:after="0"/>
        <w:contextualSpacing/>
        <w:rPr>
          <w:rFonts w:ascii="Arial" w:eastAsia="Times New Roman" w:hAnsi="Arial" w:cs="Arial"/>
          <w:color w:val="141413"/>
          <w:lang w:val="en-GB"/>
        </w:rPr>
      </w:pPr>
      <w:r w:rsidRPr="005F2054">
        <w:rPr>
          <w:rFonts w:ascii="Arial" w:eastAsia="Times New Roman" w:hAnsi="Arial" w:cs="Arial"/>
          <w:color w:val="141413"/>
          <w:lang w:val="en-GB"/>
        </w:rPr>
        <w:t xml:space="preserve">Patients who are candidates for lung transplantation </w:t>
      </w:r>
      <w:r w:rsidR="006C6B3B" w:rsidRPr="005F2054">
        <w:rPr>
          <w:rFonts w:ascii="Arial" w:eastAsia="Times New Roman" w:hAnsi="Arial" w:cs="Arial"/>
          <w:color w:val="141413"/>
          <w:lang w:val="en-GB"/>
        </w:rPr>
        <w:t>a</w:t>
      </w:r>
      <w:r w:rsidRPr="005F2054">
        <w:rPr>
          <w:rFonts w:ascii="Arial" w:eastAsia="Times New Roman" w:hAnsi="Arial" w:cs="Arial"/>
          <w:color w:val="141413"/>
          <w:lang w:val="en-GB"/>
        </w:rPr>
        <w:t xml:space="preserve">re </w:t>
      </w:r>
      <w:r w:rsidR="00BE7A5E" w:rsidRPr="005F2054">
        <w:rPr>
          <w:rFonts w:ascii="Arial" w:eastAsia="Times New Roman" w:hAnsi="Arial" w:cs="Arial"/>
          <w:color w:val="141413"/>
          <w:lang w:val="en-GB"/>
        </w:rPr>
        <w:t xml:space="preserve">also </w:t>
      </w:r>
      <w:r w:rsidRPr="005F2054">
        <w:rPr>
          <w:rFonts w:ascii="Arial" w:eastAsia="Times New Roman" w:hAnsi="Arial" w:cs="Arial"/>
          <w:color w:val="141413"/>
          <w:lang w:val="en-GB"/>
        </w:rPr>
        <w:t xml:space="preserve">highly likely to have osteoporosis before surgery. </w:t>
      </w:r>
      <w:r w:rsidR="002800CD" w:rsidRPr="005F2054">
        <w:rPr>
          <w:rFonts w:ascii="Arial" w:eastAsia="Times New Roman" w:hAnsi="Arial" w:cs="Arial"/>
          <w:color w:val="141413"/>
          <w:lang w:val="en-GB"/>
        </w:rPr>
        <w:t xml:space="preserve">In many </w:t>
      </w:r>
      <w:r w:rsidR="00BE7A5E" w:rsidRPr="005F2054">
        <w:rPr>
          <w:rFonts w:ascii="Arial" w:eastAsia="Times New Roman" w:hAnsi="Arial" w:cs="Arial"/>
          <w:color w:val="141413"/>
          <w:lang w:val="en-GB"/>
        </w:rPr>
        <w:t xml:space="preserve">cases, </w:t>
      </w:r>
      <w:r w:rsidR="002800CD" w:rsidRPr="005F2054">
        <w:rPr>
          <w:rFonts w:ascii="Arial" w:eastAsia="Times New Roman" w:hAnsi="Arial" w:cs="Arial"/>
          <w:color w:val="141413"/>
          <w:lang w:val="en-GB"/>
        </w:rPr>
        <w:t xml:space="preserve">chronic exposure to glucocorticoids </w:t>
      </w:r>
      <w:r w:rsidR="00BE7A5E" w:rsidRPr="005F2054">
        <w:rPr>
          <w:rFonts w:ascii="Arial" w:eastAsia="Times New Roman" w:hAnsi="Arial" w:cs="Arial"/>
          <w:color w:val="141413"/>
          <w:lang w:val="en-GB"/>
        </w:rPr>
        <w:t xml:space="preserve">is the </w:t>
      </w:r>
      <w:r w:rsidR="002800CD" w:rsidRPr="005F2054">
        <w:rPr>
          <w:rFonts w:ascii="Arial" w:eastAsia="Times New Roman" w:hAnsi="Arial" w:cs="Arial"/>
          <w:color w:val="141413"/>
          <w:lang w:val="en-GB"/>
        </w:rPr>
        <w:t xml:space="preserve">primary risk factor. </w:t>
      </w:r>
      <w:r w:rsidR="00BE7A5E" w:rsidRPr="005F2054">
        <w:rPr>
          <w:rFonts w:ascii="Arial" w:eastAsia="Times New Roman" w:hAnsi="Arial" w:cs="Arial"/>
          <w:color w:val="141413"/>
          <w:lang w:val="en-GB"/>
        </w:rPr>
        <w:t>However, s</w:t>
      </w:r>
      <w:r w:rsidR="002800CD" w:rsidRPr="005F2054">
        <w:rPr>
          <w:rFonts w:ascii="Arial" w:eastAsia="Times New Roman" w:hAnsi="Arial" w:cs="Arial"/>
          <w:color w:val="141413"/>
          <w:lang w:val="en-GB"/>
        </w:rPr>
        <w:t xml:space="preserve">everal other risk factors </w:t>
      </w:r>
      <w:r w:rsidR="00BE7A5E" w:rsidRPr="005F2054">
        <w:rPr>
          <w:rFonts w:ascii="Arial" w:eastAsia="Times New Roman" w:hAnsi="Arial" w:cs="Arial"/>
          <w:color w:val="141413"/>
          <w:lang w:val="en-GB"/>
        </w:rPr>
        <w:t>may also contribute to bone loss</w:t>
      </w:r>
      <w:r w:rsidR="003446C2">
        <w:rPr>
          <w:rFonts w:ascii="Arial" w:eastAsia="Times New Roman" w:hAnsi="Arial" w:cs="Arial"/>
          <w:color w:val="141413"/>
          <w:lang w:val="en-GB"/>
        </w:rPr>
        <w:t xml:space="preserve">. </w:t>
      </w:r>
      <w:r w:rsidR="002800CD" w:rsidRPr="005F2054">
        <w:rPr>
          <w:rFonts w:ascii="Arial" w:eastAsia="Times New Roman" w:hAnsi="Arial" w:cs="Arial"/>
          <w:color w:val="141413"/>
          <w:lang w:val="en-GB"/>
        </w:rPr>
        <w:t xml:space="preserve"> </w:t>
      </w:r>
    </w:p>
    <w:p w14:paraId="3DF5AB8D" w14:textId="77777777" w:rsidR="0012755E" w:rsidRPr="005F2054" w:rsidRDefault="0012755E" w:rsidP="005F2054">
      <w:pPr>
        <w:spacing w:after="0"/>
        <w:contextualSpacing/>
        <w:rPr>
          <w:rFonts w:ascii="Arial" w:eastAsia="Times New Roman" w:hAnsi="Arial" w:cs="Arial"/>
          <w:color w:val="141413"/>
          <w:lang w:val="en-GB"/>
        </w:rPr>
      </w:pPr>
    </w:p>
    <w:p w14:paraId="05D60572" w14:textId="14C1FEAA" w:rsidR="00E55EC5" w:rsidRDefault="00621B81"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A</w:t>
      </w:r>
      <w:r w:rsidR="00E55EC5" w:rsidRPr="005F2054">
        <w:rPr>
          <w:rFonts w:ascii="Arial" w:eastAsia="Times New Roman" w:hAnsi="Arial" w:cs="Arial"/>
          <w:color w:val="141413"/>
          <w:lang w:val="en-GB"/>
        </w:rPr>
        <w:t xml:space="preserve"> retrospective study </w:t>
      </w:r>
      <w:r w:rsidR="006C6B3B" w:rsidRPr="005F2054">
        <w:rPr>
          <w:rFonts w:ascii="Arial" w:eastAsia="Times New Roman" w:hAnsi="Arial" w:cs="Arial"/>
          <w:color w:val="141413"/>
          <w:lang w:val="en-GB"/>
        </w:rPr>
        <w:t>of</w:t>
      </w:r>
      <w:r w:rsidR="00E55EC5" w:rsidRPr="005F2054">
        <w:rPr>
          <w:rFonts w:ascii="Arial" w:eastAsia="Times New Roman" w:hAnsi="Arial" w:cs="Arial"/>
          <w:color w:val="141413"/>
          <w:lang w:val="en-GB"/>
        </w:rPr>
        <w:t xml:space="preserve"> patients with diffuse parenchymal lung disease referred for lung transplantation </w:t>
      </w:r>
      <w:r w:rsidR="00BE7A5E" w:rsidRPr="005F2054">
        <w:rPr>
          <w:rFonts w:ascii="Arial" w:eastAsia="Times New Roman" w:hAnsi="Arial" w:cs="Arial"/>
          <w:color w:val="141413"/>
          <w:lang w:val="en-GB"/>
        </w:rPr>
        <w:t>found t</w:t>
      </w:r>
      <w:r w:rsidR="00E55EC5" w:rsidRPr="005F2054">
        <w:rPr>
          <w:rFonts w:ascii="Arial" w:eastAsia="Times New Roman" w:hAnsi="Arial" w:cs="Arial"/>
          <w:color w:val="141413"/>
          <w:lang w:val="en-GB"/>
        </w:rPr>
        <w:t xml:space="preserve">hat 30% </w:t>
      </w:r>
      <w:r w:rsidR="001E6788" w:rsidRPr="005F2054">
        <w:rPr>
          <w:rFonts w:ascii="Arial" w:eastAsia="Times New Roman" w:hAnsi="Arial" w:cs="Arial"/>
          <w:color w:val="141413"/>
          <w:lang w:val="en-GB"/>
        </w:rPr>
        <w:t xml:space="preserve">had </w:t>
      </w:r>
      <w:r w:rsidR="00E55EC5" w:rsidRPr="005F2054">
        <w:rPr>
          <w:rFonts w:ascii="Arial" w:eastAsia="Times New Roman" w:hAnsi="Arial" w:cs="Arial"/>
          <w:color w:val="141413"/>
          <w:lang w:val="en-GB"/>
        </w:rPr>
        <w:t xml:space="preserve">lumbar </w:t>
      </w:r>
      <w:r w:rsidR="001E6788" w:rsidRPr="005F2054">
        <w:rPr>
          <w:rFonts w:ascii="Arial" w:eastAsia="Times New Roman" w:hAnsi="Arial" w:cs="Arial"/>
          <w:color w:val="141413"/>
          <w:lang w:val="en-GB"/>
        </w:rPr>
        <w:t>osteoporosis and 49% had femoral osteoporosis</w:t>
      </w:r>
      <w:r w:rsidR="00C1438D" w:rsidRPr="005F2054">
        <w:rPr>
          <w:rFonts w:ascii="Arial" w:eastAsia="Times New Roman" w:hAnsi="Arial" w:cs="Arial"/>
          <w:color w:val="141413"/>
          <w:lang w:val="en-GB"/>
        </w:rPr>
        <w:t xml:space="preserve"> </w:t>
      </w:r>
      <w:r w:rsidR="00E55EC5" w:rsidRPr="00D7373F">
        <w:rPr>
          <w:rFonts w:ascii="Arial" w:eastAsia="Times New Roman" w:hAnsi="Arial" w:cs="Arial"/>
          <w:lang w:val="en-GB"/>
        </w:rPr>
        <w:t>(2</w:t>
      </w:r>
      <w:r w:rsidR="00E52B52" w:rsidRPr="00D7373F">
        <w:rPr>
          <w:rFonts w:ascii="Arial" w:eastAsia="Times New Roman" w:hAnsi="Arial" w:cs="Arial"/>
          <w:lang w:val="en-GB"/>
        </w:rPr>
        <w:t>5</w:t>
      </w:r>
      <w:r w:rsidR="00E55EC5" w:rsidRPr="00D7373F">
        <w:rPr>
          <w:rFonts w:ascii="Arial" w:eastAsia="Times New Roman" w:hAnsi="Arial" w:cs="Arial"/>
          <w:lang w:val="en-GB"/>
        </w:rPr>
        <w:t>).</w:t>
      </w:r>
      <w:r w:rsidR="006C6B3B" w:rsidRPr="00D7373F">
        <w:rPr>
          <w:rFonts w:ascii="Arial" w:eastAsia="Times New Roman" w:hAnsi="Arial" w:cs="Arial"/>
          <w:lang w:val="en-GB"/>
        </w:rPr>
        <w:t xml:space="preserve"> </w:t>
      </w:r>
      <w:r w:rsidR="001E6788" w:rsidRPr="00D7373F">
        <w:rPr>
          <w:rFonts w:ascii="Arial" w:eastAsia="Times New Roman" w:hAnsi="Arial" w:cs="Arial"/>
          <w:lang w:val="en-GB"/>
        </w:rPr>
        <w:t xml:space="preserve">Another study reported even higher rates, with </w:t>
      </w:r>
      <w:r w:rsidR="00E55EC5" w:rsidRPr="00D7373F">
        <w:rPr>
          <w:rFonts w:ascii="Arial" w:eastAsia="Times New Roman" w:hAnsi="Arial" w:cs="Arial"/>
          <w:lang w:val="en-GB"/>
        </w:rPr>
        <w:t xml:space="preserve">50% </w:t>
      </w:r>
      <w:r w:rsidR="001E6788" w:rsidRPr="00D7373F">
        <w:rPr>
          <w:rFonts w:ascii="Arial" w:eastAsia="Times New Roman" w:hAnsi="Arial" w:cs="Arial"/>
          <w:lang w:val="en-GB"/>
        </w:rPr>
        <w:t xml:space="preserve">of patients having lumbar </w:t>
      </w:r>
      <w:r w:rsidR="001E6788" w:rsidRPr="005F2054">
        <w:rPr>
          <w:rFonts w:ascii="Arial" w:eastAsia="Times New Roman" w:hAnsi="Arial" w:cs="Arial"/>
          <w:color w:val="141413"/>
          <w:lang w:val="en-GB"/>
        </w:rPr>
        <w:t xml:space="preserve">osteoporosis and 61% having femoral neck </w:t>
      </w:r>
      <w:r w:rsidR="001E6788" w:rsidRPr="0012755E">
        <w:rPr>
          <w:rFonts w:ascii="Arial" w:eastAsia="Times New Roman" w:hAnsi="Arial" w:cs="Arial"/>
          <w:lang w:val="en-GB"/>
        </w:rPr>
        <w:t xml:space="preserve">osteoporosis </w:t>
      </w:r>
      <w:r w:rsidR="00E55EC5" w:rsidRPr="0012755E">
        <w:rPr>
          <w:rFonts w:ascii="Arial" w:eastAsia="Times New Roman" w:hAnsi="Arial" w:cs="Arial"/>
          <w:lang w:val="en-GB"/>
        </w:rPr>
        <w:t>(2</w:t>
      </w:r>
      <w:r w:rsidR="00E52B52" w:rsidRPr="0012755E">
        <w:rPr>
          <w:rFonts w:ascii="Arial" w:eastAsia="Times New Roman" w:hAnsi="Arial" w:cs="Arial"/>
          <w:lang w:val="en-GB"/>
        </w:rPr>
        <w:t>6</w:t>
      </w:r>
      <w:r w:rsidR="001E6788" w:rsidRPr="0012755E">
        <w:rPr>
          <w:rFonts w:ascii="Arial" w:eastAsia="Times New Roman" w:hAnsi="Arial" w:cs="Arial"/>
          <w:lang w:val="en-GB"/>
        </w:rPr>
        <w:t>,</w:t>
      </w:r>
      <w:r w:rsidR="00E52B52" w:rsidRPr="0012755E">
        <w:rPr>
          <w:rFonts w:ascii="Arial" w:eastAsia="Times New Roman" w:hAnsi="Arial" w:cs="Arial"/>
          <w:lang w:val="en-GB"/>
        </w:rPr>
        <w:t>27</w:t>
      </w:r>
      <w:r w:rsidR="007C1678" w:rsidRPr="0012755E">
        <w:rPr>
          <w:rFonts w:ascii="Arial" w:eastAsia="Times New Roman" w:hAnsi="Arial" w:cs="Arial"/>
          <w:lang w:val="en-GB"/>
        </w:rPr>
        <w:t>).</w:t>
      </w:r>
      <w:r w:rsidR="00E55EC5" w:rsidRPr="0012755E">
        <w:rPr>
          <w:rFonts w:ascii="Arial" w:eastAsia="Times New Roman" w:hAnsi="Arial" w:cs="Arial"/>
          <w:lang w:val="en-GB"/>
        </w:rPr>
        <w:t xml:space="preserve"> </w:t>
      </w:r>
      <w:r w:rsidR="00260801" w:rsidRPr="0012755E">
        <w:rPr>
          <w:rFonts w:ascii="Arial" w:eastAsia="Times New Roman" w:hAnsi="Arial" w:cs="Arial"/>
          <w:lang w:val="en-GB"/>
        </w:rPr>
        <w:t>Additionally</w:t>
      </w:r>
      <w:r w:rsidR="001E6788" w:rsidRPr="0012755E">
        <w:rPr>
          <w:rFonts w:ascii="Arial" w:eastAsia="Times New Roman" w:hAnsi="Arial" w:cs="Arial"/>
          <w:lang w:val="en-GB"/>
        </w:rPr>
        <w:t xml:space="preserve">, most of these patients had a history of glucocorticoid therapy. </w:t>
      </w:r>
      <w:r w:rsidR="00E55EC5" w:rsidRPr="0012755E">
        <w:rPr>
          <w:rFonts w:ascii="Arial" w:eastAsia="Times New Roman" w:hAnsi="Arial" w:cs="Arial"/>
          <w:lang w:val="en-GB"/>
        </w:rPr>
        <w:t xml:space="preserve"> </w:t>
      </w:r>
    </w:p>
    <w:p w14:paraId="1A6459A7" w14:textId="77777777" w:rsidR="0012755E" w:rsidRPr="0012755E" w:rsidRDefault="0012755E" w:rsidP="005F2054">
      <w:pPr>
        <w:spacing w:after="0"/>
        <w:contextualSpacing/>
        <w:rPr>
          <w:rFonts w:ascii="Arial" w:eastAsia="Times New Roman" w:hAnsi="Arial" w:cs="Arial"/>
          <w:lang w:val="en-GB"/>
        </w:rPr>
      </w:pPr>
    </w:p>
    <w:p w14:paraId="53FA44D2" w14:textId="41E04BA7" w:rsidR="009D4530" w:rsidRPr="005F2054" w:rsidRDefault="0066718C" w:rsidP="005F2054">
      <w:pPr>
        <w:spacing w:after="0"/>
        <w:contextualSpacing/>
        <w:rPr>
          <w:rFonts w:ascii="Arial" w:eastAsia="Times New Roman" w:hAnsi="Arial" w:cs="Arial"/>
          <w:color w:val="141413"/>
          <w:lang w:val="en-GB"/>
        </w:rPr>
      </w:pPr>
      <w:r w:rsidRPr="0012755E">
        <w:rPr>
          <w:rFonts w:ascii="Arial" w:eastAsia="Times New Roman" w:hAnsi="Arial" w:cs="Arial"/>
          <w:lang w:val="en-GB"/>
        </w:rPr>
        <w:t xml:space="preserve">Cystic </w:t>
      </w:r>
      <w:r w:rsidR="005971B6" w:rsidRPr="0012755E">
        <w:rPr>
          <w:rFonts w:ascii="Arial" w:eastAsia="Times New Roman" w:hAnsi="Arial" w:cs="Arial"/>
          <w:lang w:val="en-GB"/>
        </w:rPr>
        <w:t>F</w:t>
      </w:r>
      <w:r w:rsidRPr="0012755E">
        <w:rPr>
          <w:rFonts w:ascii="Arial" w:eastAsia="Times New Roman" w:hAnsi="Arial" w:cs="Arial"/>
          <w:lang w:val="en-GB"/>
        </w:rPr>
        <w:t>ibrosis</w:t>
      </w:r>
      <w:r w:rsidR="00260801" w:rsidRPr="0012755E">
        <w:rPr>
          <w:rFonts w:ascii="Arial" w:eastAsia="Times New Roman" w:hAnsi="Arial" w:cs="Arial"/>
          <w:lang w:val="en-GB"/>
        </w:rPr>
        <w:t xml:space="preserve"> (CF)</w:t>
      </w:r>
      <w:r w:rsidRPr="0012755E">
        <w:rPr>
          <w:rFonts w:ascii="Arial" w:eastAsia="Times New Roman" w:hAnsi="Arial" w:cs="Arial"/>
          <w:lang w:val="en-GB"/>
        </w:rPr>
        <w:t xml:space="preserve"> </w:t>
      </w:r>
      <w:r w:rsidR="00260801" w:rsidRPr="0012755E">
        <w:rPr>
          <w:rFonts w:ascii="Arial" w:eastAsia="Times New Roman" w:hAnsi="Arial" w:cs="Arial"/>
          <w:lang w:val="en-GB"/>
        </w:rPr>
        <w:t xml:space="preserve">in advanced stages, is another lung disease associated with a high prevalence of osteoporosis and fractures in patients awaiting lung transplantation. </w:t>
      </w:r>
      <w:r w:rsidR="002800CD" w:rsidRPr="0012755E">
        <w:rPr>
          <w:rFonts w:ascii="Arial" w:eastAsia="Times New Roman" w:hAnsi="Arial" w:cs="Arial"/>
          <w:lang w:val="en-GB"/>
        </w:rPr>
        <w:t>A</w:t>
      </w:r>
      <w:r w:rsidR="00761C8F" w:rsidRPr="0012755E">
        <w:rPr>
          <w:rFonts w:ascii="Arial" w:eastAsia="Times New Roman" w:hAnsi="Arial" w:cs="Arial"/>
          <w:lang w:val="en-GB"/>
        </w:rPr>
        <w:t xml:space="preserve"> meta-analysis </w:t>
      </w:r>
      <w:r w:rsidR="00260801" w:rsidRPr="0012755E">
        <w:rPr>
          <w:rFonts w:ascii="Arial" w:eastAsia="Times New Roman" w:hAnsi="Arial" w:cs="Arial"/>
          <w:lang w:val="en-GB"/>
        </w:rPr>
        <w:t xml:space="preserve">found </w:t>
      </w:r>
      <w:r w:rsidR="00761C8F" w:rsidRPr="0012755E">
        <w:rPr>
          <w:rFonts w:ascii="Arial" w:eastAsia="Times New Roman" w:hAnsi="Arial" w:cs="Arial"/>
          <w:lang w:val="en-GB"/>
        </w:rPr>
        <w:t xml:space="preserve">that bone complications </w:t>
      </w:r>
      <w:r w:rsidRPr="0012755E">
        <w:rPr>
          <w:rFonts w:ascii="Arial" w:eastAsia="Times New Roman" w:hAnsi="Arial" w:cs="Arial"/>
          <w:lang w:val="en-GB"/>
        </w:rPr>
        <w:t xml:space="preserve">are common </w:t>
      </w:r>
      <w:r w:rsidR="00761C8F" w:rsidRPr="0012755E">
        <w:rPr>
          <w:rFonts w:ascii="Arial" w:eastAsia="Times New Roman" w:hAnsi="Arial" w:cs="Arial"/>
          <w:lang w:val="en-GB"/>
        </w:rPr>
        <w:t xml:space="preserve">in </w:t>
      </w:r>
      <w:r w:rsidR="00260801" w:rsidRPr="0012755E">
        <w:rPr>
          <w:rFonts w:ascii="Arial" w:eastAsia="Times New Roman" w:hAnsi="Arial" w:cs="Arial"/>
          <w:lang w:val="en-GB"/>
        </w:rPr>
        <w:t xml:space="preserve">CF, with a prevalence </w:t>
      </w:r>
      <w:r w:rsidRPr="0012755E">
        <w:rPr>
          <w:rFonts w:ascii="Arial" w:eastAsia="Times New Roman" w:hAnsi="Arial" w:cs="Arial"/>
          <w:lang w:val="en-GB"/>
        </w:rPr>
        <w:t xml:space="preserve">of </w:t>
      </w:r>
      <w:r w:rsidR="00761C8F" w:rsidRPr="0012755E">
        <w:rPr>
          <w:rFonts w:ascii="Arial" w:eastAsia="Times New Roman" w:hAnsi="Arial" w:cs="Arial"/>
          <w:lang w:val="en-GB"/>
        </w:rPr>
        <w:t xml:space="preserve">23.5% for </w:t>
      </w:r>
      <w:r w:rsidR="00FC0FE5" w:rsidRPr="0012755E">
        <w:rPr>
          <w:rFonts w:ascii="Arial" w:eastAsia="Times New Roman" w:hAnsi="Arial" w:cs="Arial"/>
          <w:lang w:val="en-GB"/>
        </w:rPr>
        <w:t xml:space="preserve">osteoporosis, </w:t>
      </w:r>
      <w:r w:rsidR="00260801" w:rsidRPr="0012755E">
        <w:rPr>
          <w:rFonts w:ascii="Arial" w:eastAsia="Times New Roman" w:hAnsi="Arial" w:cs="Arial"/>
          <w:lang w:val="en-GB"/>
        </w:rPr>
        <w:t xml:space="preserve">14% for </w:t>
      </w:r>
      <w:r w:rsidR="00FC0FE5" w:rsidRPr="0012755E">
        <w:rPr>
          <w:rFonts w:ascii="Arial" w:eastAsia="Times New Roman" w:hAnsi="Arial" w:cs="Arial"/>
          <w:lang w:val="en-GB"/>
        </w:rPr>
        <w:t>vertebral</w:t>
      </w:r>
      <w:r w:rsidR="00761C8F" w:rsidRPr="0012755E">
        <w:rPr>
          <w:rFonts w:ascii="Arial" w:eastAsia="Times New Roman" w:hAnsi="Arial" w:cs="Arial"/>
          <w:lang w:val="en-GB"/>
        </w:rPr>
        <w:t xml:space="preserve"> fractures</w:t>
      </w:r>
      <w:r w:rsidR="00260801" w:rsidRPr="0012755E">
        <w:rPr>
          <w:rFonts w:ascii="Arial" w:eastAsia="Times New Roman" w:hAnsi="Arial" w:cs="Arial"/>
          <w:lang w:val="en-GB"/>
        </w:rPr>
        <w:t xml:space="preserve">, and 19.7% for </w:t>
      </w:r>
      <w:r w:rsidR="00761C8F" w:rsidRPr="0012755E">
        <w:rPr>
          <w:rFonts w:ascii="Arial" w:eastAsia="Times New Roman" w:hAnsi="Arial" w:cs="Arial"/>
          <w:lang w:val="en-GB"/>
        </w:rPr>
        <w:t>non-vertebral fractures</w:t>
      </w:r>
      <w:r w:rsidR="00A819DE" w:rsidRPr="0012755E">
        <w:rPr>
          <w:rFonts w:ascii="Arial" w:eastAsia="Times New Roman" w:hAnsi="Arial" w:cs="Arial"/>
          <w:lang w:val="en-GB"/>
        </w:rPr>
        <w:t xml:space="preserve"> </w:t>
      </w:r>
      <w:r w:rsidR="00761C8F" w:rsidRPr="0012755E">
        <w:rPr>
          <w:rFonts w:ascii="Arial" w:eastAsia="Times New Roman" w:hAnsi="Arial" w:cs="Arial"/>
          <w:lang w:val="en-GB"/>
        </w:rPr>
        <w:t>(</w:t>
      </w:r>
      <w:r w:rsidR="00E52B52" w:rsidRPr="0012755E">
        <w:rPr>
          <w:rFonts w:ascii="Arial" w:eastAsia="Times New Roman" w:hAnsi="Arial" w:cs="Arial"/>
          <w:lang w:val="en-GB"/>
        </w:rPr>
        <w:t>28</w:t>
      </w:r>
      <w:r w:rsidR="00761C8F" w:rsidRPr="0012755E">
        <w:rPr>
          <w:rFonts w:ascii="Arial" w:eastAsia="Times New Roman" w:hAnsi="Arial" w:cs="Arial"/>
          <w:lang w:val="en-GB"/>
        </w:rPr>
        <w:t xml:space="preserve">). </w:t>
      </w:r>
      <w:r w:rsidRPr="0012755E">
        <w:rPr>
          <w:rFonts w:ascii="Arial" w:eastAsia="Times New Roman" w:hAnsi="Arial" w:cs="Arial"/>
          <w:lang w:val="en-GB"/>
        </w:rPr>
        <w:t xml:space="preserve"> In </w:t>
      </w:r>
      <w:r w:rsidRPr="005F2054">
        <w:rPr>
          <w:rFonts w:ascii="Arial" w:eastAsia="Times New Roman" w:hAnsi="Arial" w:cs="Arial"/>
          <w:color w:val="141413"/>
          <w:lang w:val="en-GB"/>
        </w:rPr>
        <w:t>younger patients</w:t>
      </w:r>
      <w:r w:rsidR="00F005D7" w:rsidRPr="005F2054">
        <w:rPr>
          <w:rFonts w:ascii="Arial" w:eastAsia="Times New Roman" w:hAnsi="Arial" w:cs="Arial"/>
          <w:color w:val="141413"/>
          <w:lang w:val="en-GB"/>
        </w:rPr>
        <w:t>, potential risk</w:t>
      </w:r>
      <w:r w:rsidR="00537CB2" w:rsidRPr="005F2054">
        <w:rPr>
          <w:rFonts w:ascii="Arial" w:eastAsia="Times New Roman" w:hAnsi="Arial" w:cs="Arial"/>
          <w:color w:val="141413"/>
          <w:lang w:val="en-GB"/>
        </w:rPr>
        <w:t>s such</w:t>
      </w:r>
      <w:r w:rsidR="00F005D7" w:rsidRPr="005F2054">
        <w:rPr>
          <w:rFonts w:ascii="Arial" w:eastAsia="Times New Roman" w:hAnsi="Arial" w:cs="Arial"/>
          <w:color w:val="141413"/>
          <w:lang w:val="en-GB"/>
        </w:rPr>
        <w:t xml:space="preserve"> as calcium and vitamin </w:t>
      </w:r>
      <w:r w:rsidR="00537CB2" w:rsidRPr="005F2054">
        <w:rPr>
          <w:rFonts w:ascii="Arial" w:eastAsia="Times New Roman" w:hAnsi="Arial" w:cs="Arial"/>
          <w:color w:val="141413"/>
          <w:lang w:val="en-GB"/>
        </w:rPr>
        <w:t>D</w:t>
      </w:r>
      <w:r w:rsidR="00F005D7" w:rsidRPr="005F2054">
        <w:rPr>
          <w:rFonts w:ascii="Arial" w:eastAsia="Times New Roman" w:hAnsi="Arial" w:cs="Arial"/>
          <w:color w:val="141413"/>
          <w:lang w:val="en-GB"/>
        </w:rPr>
        <w:t xml:space="preserve"> malabsor</w:t>
      </w:r>
      <w:r w:rsidR="00537CB2" w:rsidRPr="005F2054">
        <w:rPr>
          <w:rFonts w:ascii="Arial" w:eastAsia="Times New Roman" w:hAnsi="Arial" w:cs="Arial"/>
          <w:color w:val="141413"/>
          <w:lang w:val="en-GB"/>
        </w:rPr>
        <w:t>p</w:t>
      </w:r>
      <w:r w:rsidR="00F005D7" w:rsidRPr="005F2054">
        <w:rPr>
          <w:rFonts w:ascii="Arial" w:eastAsia="Times New Roman" w:hAnsi="Arial" w:cs="Arial"/>
          <w:color w:val="141413"/>
          <w:lang w:val="en-GB"/>
        </w:rPr>
        <w:t xml:space="preserve">tion, malnutrition, </w:t>
      </w:r>
      <w:r w:rsidRPr="005F2054">
        <w:rPr>
          <w:rFonts w:ascii="Arial" w:eastAsia="Times New Roman" w:hAnsi="Arial" w:cs="Arial"/>
          <w:color w:val="141413"/>
          <w:lang w:val="en-GB"/>
        </w:rPr>
        <w:t xml:space="preserve">delayed puberty, </w:t>
      </w:r>
      <w:r w:rsidR="00F005D7" w:rsidRPr="005F2054">
        <w:rPr>
          <w:rFonts w:ascii="Arial" w:eastAsia="Times New Roman" w:hAnsi="Arial" w:cs="Arial"/>
          <w:color w:val="141413"/>
          <w:lang w:val="en-GB"/>
        </w:rPr>
        <w:t xml:space="preserve">hypogonadism, </w:t>
      </w:r>
      <w:r w:rsidR="005971B6" w:rsidRPr="005F2054">
        <w:rPr>
          <w:rFonts w:ascii="Arial" w:eastAsia="Times New Roman" w:hAnsi="Arial" w:cs="Arial"/>
          <w:color w:val="141413"/>
          <w:lang w:val="en-GB"/>
        </w:rPr>
        <w:t xml:space="preserve">and </w:t>
      </w:r>
      <w:r w:rsidR="00F005D7" w:rsidRPr="005F2054">
        <w:rPr>
          <w:rFonts w:ascii="Arial" w:eastAsia="Times New Roman" w:hAnsi="Arial" w:cs="Arial"/>
          <w:color w:val="141413"/>
          <w:lang w:val="en-GB"/>
        </w:rPr>
        <w:t>glucocorticoid therapy</w:t>
      </w:r>
      <w:r w:rsidR="005971B6" w:rsidRPr="005F2054">
        <w:rPr>
          <w:rFonts w:ascii="Arial" w:eastAsia="Times New Roman" w:hAnsi="Arial" w:cs="Arial"/>
          <w:color w:val="141413"/>
          <w:lang w:val="en-GB"/>
        </w:rPr>
        <w:t xml:space="preserve"> </w:t>
      </w:r>
      <w:r w:rsidR="007235D4" w:rsidRPr="005F2054">
        <w:rPr>
          <w:rFonts w:ascii="Arial" w:eastAsia="Times New Roman" w:hAnsi="Arial" w:cs="Arial"/>
          <w:color w:val="141413"/>
          <w:lang w:val="en-GB"/>
        </w:rPr>
        <w:t xml:space="preserve">have been </w:t>
      </w:r>
      <w:r w:rsidR="00260801" w:rsidRPr="005F2054">
        <w:rPr>
          <w:rFonts w:ascii="Arial" w:eastAsia="Times New Roman" w:hAnsi="Arial" w:cs="Arial"/>
          <w:color w:val="141413"/>
          <w:lang w:val="en-GB"/>
        </w:rPr>
        <w:t>identified as contributors to bone loss.</w:t>
      </w:r>
    </w:p>
    <w:p w14:paraId="02414FBF" w14:textId="77777777" w:rsidR="0088037B" w:rsidRPr="005F2054" w:rsidRDefault="0088037B" w:rsidP="005F2054">
      <w:pPr>
        <w:spacing w:after="0"/>
        <w:contextualSpacing/>
        <w:rPr>
          <w:rFonts w:ascii="Arial" w:eastAsia="Times New Roman" w:hAnsi="Arial" w:cs="Arial"/>
          <w:color w:val="141413"/>
          <w:lang w:val="en-GB"/>
        </w:rPr>
      </w:pPr>
    </w:p>
    <w:p w14:paraId="32E16C33" w14:textId="2249B467" w:rsidR="002010A7" w:rsidRPr="005F2054" w:rsidRDefault="00817625" w:rsidP="005F2054">
      <w:pPr>
        <w:spacing w:after="0"/>
        <w:contextualSpacing/>
        <w:rPr>
          <w:rFonts w:ascii="Arial" w:eastAsia="Times New Roman" w:hAnsi="Arial" w:cs="Arial"/>
          <w:b/>
          <w:color w:val="1F497D" w:themeColor="text2"/>
          <w:lang w:val="en-GB"/>
        </w:rPr>
      </w:pPr>
      <w:r w:rsidRPr="005F2054">
        <w:rPr>
          <w:rFonts w:ascii="Arial" w:eastAsia="Times New Roman" w:hAnsi="Arial" w:cs="Arial"/>
          <w:b/>
          <w:color w:val="1F497D" w:themeColor="text2"/>
          <w:lang w:val="en-GB"/>
        </w:rPr>
        <w:t>BONE LOSS AND FRACTURES AFTER TRANSPLANTATION</w:t>
      </w:r>
    </w:p>
    <w:p w14:paraId="4A93E934" w14:textId="77777777" w:rsidR="00D7373F" w:rsidRDefault="00D7373F" w:rsidP="005F2054">
      <w:pPr>
        <w:spacing w:after="0"/>
        <w:contextualSpacing/>
        <w:rPr>
          <w:rFonts w:ascii="Arial" w:eastAsia="Times New Roman" w:hAnsi="Arial" w:cs="Arial"/>
          <w:color w:val="141413"/>
          <w:lang w:val="en-GB"/>
        </w:rPr>
      </w:pPr>
    </w:p>
    <w:p w14:paraId="0D00AA7C" w14:textId="510BBE64" w:rsidR="008F6A1F" w:rsidRDefault="00C834EA" w:rsidP="005F2054">
      <w:pPr>
        <w:spacing w:after="0"/>
        <w:contextualSpacing/>
        <w:rPr>
          <w:rFonts w:ascii="Arial" w:eastAsia="Times New Roman" w:hAnsi="Arial" w:cs="Arial"/>
          <w:color w:val="141413"/>
          <w:lang w:val="en-GB"/>
        </w:rPr>
      </w:pPr>
      <w:r w:rsidRPr="005F2054">
        <w:rPr>
          <w:rFonts w:ascii="Arial" w:eastAsia="Times New Roman" w:hAnsi="Arial" w:cs="Arial"/>
          <w:color w:val="141413"/>
          <w:lang w:val="en-GB"/>
        </w:rPr>
        <w:t>Bone loss and</w:t>
      </w:r>
      <w:r w:rsidR="00FC0FE5" w:rsidRPr="005F2054">
        <w:rPr>
          <w:rFonts w:ascii="Arial" w:eastAsia="Times New Roman" w:hAnsi="Arial" w:cs="Arial"/>
          <w:color w:val="141413"/>
          <w:lang w:val="en-GB"/>
        </w:rPr>
        <w:t xml:space="preserve"> fracture</w:t>
      </w:r>
      <w:r w:rsidR="008F6A1F" w:rsidRPr="005F2054">
        <w:rPr>
          <w:rFonts w:ascii="Arial" w:eastAsia="Times New Roman" w:hAnsi="Arial" w:cs="Arial"/>
          <w:color w:val="141413"/>
          <w:lang w:val="en-GB"/>
        </w:rPr>
        <w:t xml:space="preserve"> </w:t>
      </w:r>
      <w:r w:rsidRPr="005F2054">
        <w:rPr>
          <w:rFonts w:ascii="Arial" w:eastAsia="Times New Roman" w:hAnsi="Arial" w:cs="Arial"/>
          <w:color w:val="141413"/>
          <w:lang w:val="en-GB"/>
        </w:rPr>
        <w:t>rates</w:t>
      </w:r>
      <w:r w:rsidR="008F6A1F" w:rsidRPr="005F2054">
        <w:rPr>
          <w:rFonts w:ascii="Arial" w:eastAsia="Times New Roman" w:hAnsi="Arial" w:cs="Arial"/>
          <w:color w:val="141413"/>
          <w:lang w:val="en-GB"/>
        </w:rPr>
        <w:t xml:space="preserve"> </w:t>
      </w:r>
      <w:r w:rsidRPr="005F2054">
        <w:rPr>
          <w:rFonts w:ascii="Arial" w:eastAsia="Times New Roman" w:hAnsi="Arial" w:cs="Arial"/>
          <w:color w:val="141413"/>
          <w:lang w:val="en-GB"/>
        </w:rPr>
        <w:t>are</w:t>
      </w:r>
      <w:r w:rsidR="008F6A1F" w:rsidRPr="005F2054">
        <w:rPr>
          <w:rFonts w:ascii="Arial" w:eastAsia="Times New Roman" w:hAnsi="Arial" w:cs="Arial"/>
          <w:color w:val="141413"/>
          <w:lang w:val="en-GB"/>
        </w:rPr>
        <w:t xml:space="preserve"> higher in patients who had osteoporosis before transplant</w:t>
      </w:r>
      <w:r w:rsidR="004F6DDE" w:rsidRPr="005F2054">
        <w:rPr>
          <w:rFonts w:ascii="Arial" w:eastAsia="Times New Roman" w:hAnsi="Arial" w:cs="Arial"/>
          <w:color w:val="141413"/>
          <w:lang w:val="en-GB"/>
        </w:rPr>
        <w:t xml:space="preserve"> (Table 3)</w:t>
      </w:r>
      <w:r w:rsidR="00D90653" w:rsidRPr="005F2054">
        <w:rPr>
          <w:rFonts w:ascii="Arial" w:eastAsia="Times New Roman" w:hAnsi="Arial" w:cs="Arial"/>
          <w:color w:val="141413"/>
          <w:lang w:val="en-GB"/>
        </w:rPr>
        <w:t>.</w:t>
      </w:r>
      <w:r w:rsidR="006A3477" w:rsidRPr="005F2054">
        <w:rPr>
          <w:rFonts w:ascii="Arial" w:eastAsia="Times New Roman" w:hAnsi="Arial" w:cs="Arial"/>
          <w:color w:val="141413"/>
          <w:lang w:val="en-GB"/>
        </w:rPr>
        <w:t xml:space="preserve"> </w:t>
      </w:r>
      <w:r w:rsidR="00C44E13" w:rsidRPr="005F2054">
        <w:rPr>
          <w:rFonts w:ascii="Arial" w:eastAsia="Times New Roman" w:hAnsi="Arial" w:cs="Arial"/>
          <w:color w:val="141413"/>
          <w:lang w:val="en-GB"/>
        </w:rPr>
        <w:t>In these cohorts, p</w:t>
      </w:r>
      <w:r w:rsidR="00972891" w:rsidRPr="005F2054">
        <w:rPr>
          <w:rFonts w:ascii="Arial" w:eastAsia="Times New Roman" w:hAnsi="Arial" w:cs="Arial"/>
          <w:color w:val="141413"/>
          <w:lang w:val="en-GB"/>
        </w:rPr>
        <w:t>ost-transplan</w:t>
      </w:r>
      <w:r w:rsidR="00150FA9" w:rsidRPr="005F2054">
        <w:rPr>
          <w:rFonts w:ascii="Arial" w:eastAsia="Times New Roman" w:hAnsi="Arial" w:cs="Arial"/>
          <w:color w:val="141413"/>
          <w:lang w:val="en-GB"/>
        </w:rPr>
        <w:t>ta</w:t>
      </w:r>
      <w:r w:rsidR="00972891" w:rsidRPr="005F2054">
        <w:rPr>
          <w:rFonts w:ascii="Arial" w:eastAsia="Times New Roman" w:hAnsi="Arial" w:cs="Arial"/>
          <w:color w:val="141413"/>
          <w:lang w:val="en-GB"/>
        </w:rPr>
        <w:t>tion fracture</w:t>
      </w:r>
      <w:r w:rsidR="00150FA9" w:rsidRPr="005F2054">
        <w:rPr>
          <w:rFonts w:ascii="Arial" w:eastAsia="Times New Roman" w:hAnsi="Arial" w:cs="Arial"/>
          <w:color w:val="141413"/>
          <w:lang w:val="en-GB"/>
        </w:rPr>
        <w:t>s</w:t>
      </w:r>
      <w:r w:rsidR="00972891" w:rsidRPr="005F2054">
        <w:rPr>
          <w:rFonts w:ascii="Arial" w:eastAsia="Times New Roman" w:hAnsi="Arial" w:cs="Arial"/>
          <w:color w:val="141413"/>
          <w:lang w:val="en-GB"/>
        </w:rPr>
        <w:t xml:space="preserve"> </w:t>
      </w:r>
      <w:r w:rsidR="00124B97" w:rsidRPr="005F2054">
        <w:rPr>
          <w:rFonts w:ascii="Arial" w:eastAsia="Times New Roman" w:hAnsi="Arial" w:cs="Arial"/>
          <w:color w:val="141413"/>
          <w:lang w:val="en-GB"/>
        </w:rPr>
        <w:t>are</w:t>
      </w:r>
      <w:r w:rsidR="003D6072" w:rsidRPr="005F2054">
        <w:rPr>
          <w:rFonts w:ascii="Arial" w:eastAsia="Times New Roman" w:hAnsi="Arial" w:cs="Arial"/>
          <w:color w:val="141413"/>
          <w:lang w:val="en-GB"/>
        </w:rPr>
        <w:t xml:space="preserve"> </w:t>
      </w:r>
      <w:r w:rsidR="00C44E13" w:rsidRPr="005F2054">
        <w:rPr>
          <w:rFonts w:ascii="Arial" w:eastAsia="Times New Roman" w:hAnsi="Arial" w:cs="Arial"/>
          <w:color w:val="141413"/>
          <w:lang w:val="en-GB"/>
        </w:rPr>
        <w:t xml:space="preserve">associated with increased </w:t>
      </w:r>
      <w:r w:rsidR="00972891" w:rsidRPr="005F2054">
        <w:rPr>
          <w:rFonts w:ascii="Arial" w:eastAsia="Times New Roman" w:hAnsi="Arial" w:cs="Arial"/>
          <w:color w:val="141413"/>
          <w:lang w:val="en-GB"/>
        </w:rPr>
        <w:t xml:space="preserve">mortality </w:t>
      </w:r>
      <w:r w:rsidR="00972891" w:rsidRPr="00D7373F">
        <w:rPr>
          <w:rFonts w:ascii="Arial" w:eastAsia="Times New Roman" w:hAnsi="Arial" w:cs="Arial"/>
          <w:lang w:val="en-GB"/>
        </w:rPr>
        <w:t>rate</w:t>
      </w:r>
      <w:r w:rsidR="00C44E13" w:rsidRPr="00D7373F">
        <w:rPr>
          <w:rFonts w:ascii="Arial" w:eastAsia="Times New Roman" w:hAnsi="Arial" w:cs="Arial"/>
          <w:lang w:val="en-GB"/>
        </w:rPr>
        <w:t xml:space="preserve">s </w:t>
      </w:r>
      <w:r w:rsidR="00972891" w:rsidRPr="00D7373F">
        <w:rPr>
          <w:rFonts w:ascii="Arial" w:eastAsia="Times New Roman" w:hAnsi="Arial" w:cs="Arial"/>
          <w:lang w:val="en-GB"/>
        </w:rPr>
        <w:t>(</w:t>
      </w:r>
      <w:r w:rsidR="006A3477" w:rsidRPr="00D7373F">
        <w:rPr>
          <w:rFonts w:ascii="Arial" w:eastAsia="Times New Roman" w:hAnsi="Arial" w:cs="Arial"/>
          <w:lang w:val="en-GB"/>
        </w:rPr>
        <w:t>29)</w:t>
      </w:r>
      <w:r w:rsidR="004F6DDE" w:rsidRPr="00D7373F">
        <w:rPr>
          <w:rFonts w:ascii="Arial" w:eastAsia="Times New Roman" w:hAnsi="Arial" w:cs="Arial"/>
          <w:lang w:val="en-GB"/>
        </w:rPr>
        <w:t>.</w:t>
      </w:r>
      <w:r w:rsidR="00150FA9" w:rsidRPr="00D7373F">
        <w:rPr>
          <w:rFonts w:ascii="Arial" w:eastAsia="Times New Roman" w:hAnsi="Arial" w:cs="Arial"/>
          <w:lang w:val="en-GB"/>
        </w:rPr>
        <w:t xml:space="preserve"> </w:t>
      </w:r>
      <w:r w:rsidR="008F6A1F" w:rsidRPr="00D7373F">
        <w:rPr>
          <w:rFonts w:ascii="Arial" w:eastAsia="Times New Roman" w:hAnsi="Arial" w:cs="Arial"/>
          <w:lang w:val="en-GB"/>
        </w:rPr>
        <w:t xml:space="preserve">The </w:t>
      </w:r>
      <w:r w:rsidR="008F6A1F" w:rsidRPr="005F2054">
        <w:rPr>
          <w:rFonts w:ascii="Arial" w:eastAsia="Times New Roman" w:hAnsi="Arial" w:cs="Arial"/>
          <w:color w:val="141413"/>
          <w:lang w:val="en-GB"/>
        </w:rPr>
        <w:t>highest</w:t>
      </w:r>
      <w:r w:rsidR="00C44E13" w:rsidRPr="005F2054">
        <w:rPr>
          <w:rFonts w:ascii="Arial" w:eastAsia="Times New Roman" w:hAnsi="Arial" w:cs="Arial"/>
          <w:color w:val="141413"/>
          <w:lang w:val="en-GB"/>
        </w:rPr>
        <w:t xml:space="preserve"> fracture</w:t>
      </w:r>
      <w:r w:rsidR="008F6A1F" w:rsidRPr="005F2054">
        <w:rPr>
          <w:rFonts w:ascii="Arial" w:eastAsia="Times New Roman" w:hAnsi="Arial" w:cs="Arial"/>
          <w:color w:val="141413"/>
          <w:lang w:val="en-GB"/>
        </w:rPr>
        <w:t xml:space="preserve"> </w:t>
      </w:r>
      <w:r w:rsidR="00C44E13" w:rsidRPr="005F2054">
        <w:rPr>
          <w:rFonts w:ascii="Arial" w:eastAsia="Times New Roman" w:hAnsi="Arial" w:cs="Arial"/>
          <w:color w:val="141413"/>
          <w:lang w:val="en-GB"/>
        </w:rPr>
        <w:t xml:space="preserve">risk </w:t>
      </w:r>
      <w:r w:rsidR="008F6A1F" w:rsidRPr="005F2054">
        <w:rPr>
          <w:rFonts w:ascii="Arial" w:eastAsia="Times New Roman" w:hAnsi="Arial" w:cs="Arial"/>
          <w:color w:val="141413"/>
          <w:lang w:val="en-GB"/>
        </w:rPr>
        <w:t xml:space="preserve">has been reported in heart and lung </w:t>
      </w:r>
      <w:r w:rsidR="00C44E13" w:rsidRPr="005F2054">
        <w:rPr>
          <w:rFonts w:ascii="Arial" w:eastAsia="Times New Roman" w:hAnsi="Arial" w:cs="Arial"/>
          <w:color w:val="141413"/>
          <w:lang w:val="en-GB"/>
        </w:rPr>
        <w:t>recipients, as well as in those with comorbidities such as r</w:t>
      </w:r>
      <w:r w:rsidR="008F6A1F" w:rsidRPr="005F2054">
        <w:rPr>
          <w:rFonts w:ascii="Arial" w:eastAsia="Times New Roman" w:hAnsi="Arial" w:cs="Arial"/>
          <w:color w:val="141413"/>
          <w:lang w:val="en-GB"/>
        </w:rPr>
        <w:t xml:space="preserve">heumatoid </w:t>
      </w:r>
      <w:r w:rsidR="00C44E13" w:rsidRPr="005F2054">
        <w:rPr>
          <w:rFonts w:ascii="Arial" w:eastAsia="Times New Roman" w:hAnsi="Arial" w:cs="Arial"/>
          <w:color w:val="141413"/>
          <w:lang w:val="en-GB"/>
        </w:rPr>
        <w:t>a</w:t>
      </w:r>
      <w:r w:rsidR="008F6A1F" w:rsidRPr="005F2054">
        <w:rPr>
          <w:rFonts w:ascii="Arial" w:eastAsia="Times New Roman" w:hAnsi="Arial" w:cs="Arial"/>
          <w:color w:val="141413"/>
          <w:lang w:val="en-GB"/>
        </w:rPr>
        <w:t xml:space="preserve">rthritis, </w:t>
      </w:r>
      <w:r w:rsidR="00C44E13" w:rsidRPr="005F2054">
        <w:rPr>
          <w:rFonts w:ascii="Arial" w:eastAsia="Times New Roman" w:hAnsi="Arial" w:cs="Arial"/>
          <w:color w:val="141413"/>
          <w:lang w:val="en-GB"/>
        </w:rPr>
        <w:t>g</w:t>
      </w:r>
      <w:r w:rsidR="008F6A1F" w:rsidRPr="005F2054">
        <w:rPr>
          <w:rFonts w:ascii="Arial" w:eastAsia="Times New Roman" w:hAnsi="Arial" w:cs="Arial"/>
          <w:color w:val="141413"/>
          <w:lang w:val="en-GB"/>
        </w:rPr>
        <w:t>out</w:t>
      </w:r>
      <w:r w:rsidR="00FD0EF4" w:rsidRPr="005F2054">
        <w:rPr>
          <w:rFonts w:ascii="Arial" w:eastAsia="Times New Roman" w:hAnsi="Arial" w:cs="Arial"/>
          <w:color w:val="141413"/>
          <w:lang w:val="en-GB"/>
        </w:rPr>
        <w:t>,</w:t>
      </w:r>
      <w:r w:rsidR="008F6A1F" w:rsidRPr="005F2054">
        <w:rPr>
          <w:rFonts w:ascii="Arial" w:eastAsia="Times New Roman" w:hAnsi="Arial" w:cs="Arial"/>
          <w:color w:val="141413"/>
          <w:lang w:val="en-GB"/>
        </w:rPr>
        <w:t xml:space="preserve"> and </w:t>
      </w:r>
      <w:r w:rsidR="00C44E13" w:rsidRPr="005F2054">
        <w:rPr>
          <w:rFonts w:ascii="Arial" w:eastAsia="Times New Roman" w:hAnsi="Arial" w:cs="Arial"/>
          <w:color w:val="141413"/>
          <w:lang w:val="en-GB"/>
        </w:rPr>
        <w:t>c</w:t>
      </w:r>
      <w:r w:rsidR="008F6A1F" w:rsidRPr="005F2054">
        <w:rPr>
          <w:rFonts w:ascii="Arial" w:eastAsia="Times New Roman" w:hAnsi="Arial" w:cs="Arial"/>
          <w:color w:val="141413"/>
          <w:lang w:val="en-GB"/>
        </w:rPr>
        <w:t xml:space="preserve">hronic obstructive pulmonary disease (COPD. </w:t>
      </w:r>
      <w:r w:rsidR="005B72E7" w:rsidRPr="005F2054">
        <w:rPr>
          <w:rFonts w:ascii="Arial" w:eastAsia="Times New Roman" w:hAnsi="Arial" w:cs="Arial"/>
          <w:color w:val="141413"/>
          <w:lang w:val="en-GB"/>
        </w:rPr>
        <w:t>Regarding</w:t>
      </w:r>
      <w:r w:rsidR="00BF601F" w:rsidRPr="005F2054">
        <w:rPr>
          <w:rFonts w:ascii="Arial" w:eastAsia="Times New Roman" w:hAnsi="Arial" w:cs="Arial"/>
          <w:color w:val="141413"/>
          <w:lang w:val="en-GB"/>
        </w:rPr>
        <w:t xml:space="preserve"> diabetes </w:t>
      </w:r>
      <w:r w:rsidR="00A45FA2" w:rsidRPr="005F2054">
        <w:rPr>
          <w:rFonts w:ascii="Arial" w:eastAsia="Times New Roman" w:hAnsi="Arial" w:cs="Arial"/>
          <w:color w:val="141413"/>
          <w:lang w:val="en-GB"/>
        </w:rPr>
        <w:t>mellitus, no</w:t>
      </w:r>
      <w:r w:rsidR="00BF601F" w:rsidRPr="005F2054">
        <w:rPr>
          <w:rFonts w:ascii="Arial" w:eastAsia="Times New Roman" w:hAnsi="Arial" w:cs="Arial"/>
          <w:color w:val="141413"/>
          <w:lang w:val="en-GB"/>
        </w:rPr>
        <w:t xml:space="preserve"> clear association </w:t>
      </w:r>
      <w:r w:rsidR="00C44E13" w:rsidRPr="005F2054">
        <w:rPr>
          <w:rFonts w:ascii="Arial" w:eastAsia="Times New Roman" w:hAnsi="Arial" w:cs="Arial"/>
          <w:color w:val="141413"/>
          <w:lang w:val="en-GB"/>
        </w:rPr>
        <w:t xml:space="preserve">has been established between this condition and fracture risk in </w:t>
      </w:r>
      <w:r w:rsidR="00BF601F" w:rsidRPr="005F2054">
        <w:rPr>
          <w:rFonts w:ascii="Arial" w:eastAsia="Times New Roman" w:hAnsi="Arial" w:cs="Arial"/>
          <w:color w:val="141413"/>
          <w:lang w:val="en-GB"/>
        </w:rPr>
        <w:t>post-transplanted patients</w:t>
      </w:r>
      <w:r w:rsidR="00C44E13" w:rsidRPr="005F2054">
        <w:rPr>
          <w:rFonts w:ascii="Arial" w:eastAsia="Times New Roman" w:hAnsi="Arial" w:cs="Arial"/>
          <w:color w:val="141413"/>
          <w:lang w:val="en-GB"/>
        </w:rPr>
        <w:t>.</w:t>
      </w:r>
      <w:r w:rsidR="00CC6A63" w:rsidRPr="005F2054">
        <w:rPr>
          <w:rFonts w:ascii="Arial" w:eastAsia="Times New Roman" w:hAnsi="Arial" w:cs="Arial"/>
          <w:color w:val="141413"/>
          <w:lang w:val="en-GB"/>
        </w:rPr>
        <w:t xml:space="preserve"> </w:t>
      </w:r>
    </w:p>
    <w:p w14:paraId="26F37EE7" w14:textId="77777777" w:rsidR="00560D10" w:rsidRDefault="00560D10" w:rsidP="005F2054">
      <w:pPr>
        <w:spacing w:after="0"/>
        <w:contextualSpacing/>
        <w:rPr>
          <w:rFonts w:ascii="Arial" w:eastAsia="Times New Roman" w:hAnsi="Arial" w:cs="Arial"/>
          <w:color w:val="141413"/>
          <w:lang w:val="en-GB"/>
        </w:rPr>
      </w:pPr>
    </w:p>
    <w:tbl>
      <w:tblPr>
        <w:tblStyle w:val="TableGrid"/>
        <w:tblW w:w="9085" w:type="dxa"/>
        <w:tblLook w:val="04A0" w:firstRow="1" w:lastRow="0" w:firstColumn="1" w:lastColumn="0" w:noHBand="0" w:noVBand="1"/>
      </w:tblPr>
      <w:tblGrid>
        <w:gridCol w:w="2123"/>
        <w:gridCol w:w="2550"/>
        <w:gridCol w:w="1697"/>
        <w:gridCol w:w="2715"/>
      </w:tblGrid>
      <w:tr w:rsidR="00560D10" w:rsidRPr="005F2054" w14:paraId="18871188" w14:textId="77777777" w:rsidTr="008603C2">
        <w:tc>
          <w:tcPr>
            <w:tcW w:w="9085" w:type="dxa"/>
            <w:gridSpan w:val="4"/>
            <w:shd w:val="clear" w:color="auto" w:fill="FFFF00"/>
          </w:tcPr>
          <w:p w14:paraId="4F555ABE"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Table 3.- Prevalence of Osteoporosis and Fractures in Patients Post-Transplantation</w:t>
            </w:r>
          </w:p>
        </w:tc>
      </w:tr>
      <w:tr w:rsidR="00560D10" w:rsidRPr="005F2054" w14:paraId="150E866B" w14:textId="77777777" w:rsidTr="008603C2">
        <w:tc>
          <w:tcPr>
            <w:tcW w:w="2123" w:type="dxa"/>
            <w:vMerge w:val="restart"/>
          </w:tcPr>
          <w:p w14:paraId="10B83C7E"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Organ</w:t>
            </w:r>
          </w:p>
        </w:tc>
        <w:tc>
          <w:tcPr>
            <w:tcW w:w="4247" w:type="dxa"/>
            <w:gridSpan w:val="2"/>
          </w:tcPr>
          <w:p w14:paraId="06F55617" w14:textId="77777777" w:rsidR="00560D10" w:rsidRPr="005F2054" w:rsidRDefault="00560D10" w:rsidP="008603C2">
            <w:pPr>
              <w:spacing w:line="276" w:lineRule="auto"/>
              <w:jc w:val="center"/>
              <w:rPr>
                <w:rFonts w:ascii="Arial" w:hAnsi="Arial" w:cs="Arial"/>
                <w:b/>
                <w:bCs/>
                <w:sz w:val="22"/>
                <w:szCs w:val="22"/>
                <w:lang w:val="en-US"/>
              </w:rPr>
            </w:pPr>
            <w:r w:rsidRPr="005F2054">
              <w:rPr>
                <w:rFonts w:ascii="Arial" w:hAnsi="Arial" w:cs="Arial"/>
                <w:b/>
                <w:bCs/>
                <w:sz w:val="22"/>
                <w:szCs w:val="22"/>
                <w:lang w:val="en-US"/>
              </w:rPr>
              <w:t>Osteoporosis</w:t>
            </w:r>
          </w:p>
        </w:tc>
        <w:tc>
          <w:tcPr>
            <w:tcW w:w="2715" w:type="dxa"/>
            <w:vMerge w:val="restart"/>
          </w:tcPr>
          <w:p w14:paraId="0CF45932"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Fracture incidence</w:t>
            </w:r>
          </w:p>
        </w:tc>
      </w:tr>
      <w:tr w:rsidR="00560D10" w:rsidRPr="005F2054" w14:paraId="54F721FC" w14:textId="77777777" w:rsidTr="008603C2">
        <w:tc>
          <w:tcPr>
            <w:tcW w:w="2123" w:type="dxa"/>
            <w:vMerge/>
          </w:tcPr>
          <w:p w14:paraId="694773A3" w14:textId="77777777" w:rsidR="00560D10" w:rsidRPr="005F2054" w:rsidRDefault="00560D10" w:rsidP="008603C2">
            <w:pPr>
              <w:spacing w:line="276" w:lineRule="auto"/>
              <w:rPr>
                <w:rFonts w:ascii="Arial" w:hAnsi="Arial" w:cs="Arial"/>
                <w:b/>
                <w:bCs/>
                <w:sz w:val="22"/>
                <w:szCs w:val="22"/>
                <w:lang w:val="en-US"/>
              </w:rPr>
            </w:pPr>
          </w:p>
        </w:tc>
        <w:tc>
          <w:tcPr>
            <w:tcW w:w="2550" w:type="dxa"/>
          </w:tcPr>
          <w:p w14:paraId="752C19F7"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Spine</w:t>
            </w:r>
          </w:p>
        </w:tc>
        <w:tc>
          <w:tcPr>
            <w:tcW w:w="1697" w:type="dxa"/>
          </w:tcPr>
          <w:p w14:paraId="37ED0C32"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Hip</w:t>
            </w:r>
          </w:p>
        </w:tc>
        <w:tc>
          <w:tcPr>
            <w:tcW w:w="2715" w:type="dxa"/>
            <w:vMerge/>
          </w:tcPr>
          <w:p w14:paraId="1BF9B08F" w14:textId="77777777" w:rsidR="00560D10" w:rsidRPr="005F2054" w:rsidRDefault="00560D10" w:rsidP="008603C2">
            <w:pPr>
              <w:spacing w:line="276" w:lineRule="auto"/>
              <w:rPr>
                <w:rFonts w:ascii="Arial" w:hAnsi="Arial" w:cs="Arial"/>
                <w:b/>
                <w:bCs/>
                <w:sz w:val="22"/>
                <w:szCs w:val="22"/>
                <w:lang w:val="en-US"/>
              </w:rPr>
            </w:pPr>
          </w:p>
        </w:tc>
      </w:tr>
      <w:tr w:rsidR="00560D10" w:rsidRPr="005F2054" w14:paraId="7C40E53C" w14:textId="77777777" w:rsidTr="008603C2">
        <w:tc>
          <w:tcPr>
            <w:tcW w:w="2123" w:type="dxa"/>
          </w:tcPr>
          <w:p w14:paraId="27DF97B1"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Renal</w:t>
            </w:r>
          </w:p>
        </w:tc>
        <w:tc>
          <w:tcPr>
            <w:tcW w:w="2550" w:type="dxa"/>
          </w:tcPr>
          <w:p w14:paraId="47CB1E4B"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7%-44% </w:t>
            </w:r>
          </w:p>
        </w:tc>
        <w:tc>
          <w:tcPr>
            <w:tcW w:w="1697" w:type="dxa"/>
          </w:tcPr>
          <w:p w14:paraId="5655F78A"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11%-56%</w:t>
            </w:r>
          </w:p>
        </w:tc>
        <w:tc>
          <w:tcPr>
            <w:tcW w:w="2715" w:type="dxa"/>
          </w:tcPr>
          <w:p w14:paraId="3B06503C"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7-21%)</w:t>
            </w:r>
          </w:p>
        </w:tc>
      </w:tr>
      <w:tr w:rsidR="00560D10" w:rsidRPr="005F2054" w14:paraId="5D285E4E" w14:textId="77777777" w:rsidTr="008603C2">
        <w:tc>
          <w:tcPr>
            <w:tcW w:w="2123" w:type="dxa"/>
          </w:tcPr>
          <w:p w14:paraId="60A72E06"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lastRenderedPageBreak/>
              <w:t>Liver</w:t>
            </w:r>
          </w:p>
        </w:tc>
        <w:tc>
          <w:tcPr>
            <w:tcW w:w="2550" w:type="dxa"/>
          </w:tcPr>
          <w:p w14:paraId="089D8682"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11%-52% (6)</w:t>
            </w:r>
          </w:p>
        </w:tc>
        <w:tc>
          <w:tcPr>
            <w:tcW w:w="1697" w:type="dxa"/>
          </w:tcPr>
          <w:p w14:paraId="1E3DD30A"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w:t>
            </w:r>
          </w:p>
        </w:tc>
        <w:tc>
          <w:tcPr>
            <w:tcW w:w="2715" w:type="dxa"/>
          </w:tcPr>
          <w:p w14:paraId="44D5E7BF"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24-65% </w:t>
            </w:r>
          </w:p>
        </w:tc>
      </w:tr>
      <w:tr w:rsidR="00560D10" w:rsidRPr="005F2054" w14:paraId="23C584E0" w14:textId="77777777" w:rsidTr="008603C2">
        <w:tc>
          <w:tcPr>
            <w:tcW w:w="2123" w:type="dxa"/>
          </w:tcPr>
          <w:p w14:paraId="70B6C0F5"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Heart</w:t>
            </w:r>
          </w:p>
        </w:tc>
        <w:tc>
          <w:tcPr>
            <w:tcW w:w="2550" w:type="dxa"/>
          </w:tcPr>
          <w:p w14:paraId="2E15630D"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28%-50%</w:t>
            </w:r>
          </w:p>
        </w:tc>
        <w:tc>
          <w:tcPr>
            <w:tcW w:w="1697" w:type="dxa"/>
          </w:tcPr>
          <w:p w14:paraId="0585C0DE"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25%</w:t>
            </w:r>
          </w:p>
        </w:tc>
        <w:tc>
          <w:tcPr>
            <w:tcW w:w="2715" w:type="dxa"/>
          </w:tcPr>
          <w:p w14:paraId="7744C1A3"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22%-44%</w:t>
            </w:r>
          </w:p>
        </w:tc>
      </w:tr>
      <w:tr w:rsidR="00560D10" w:rsidRPr="005F2054" w14:paraId="65AF2E81" w14:textId="77777777" w:rsidTr="008603C2">
        <w:tc>
          <w:tcPr>
            <w:tcW w:w="2123" w:type="dxa"/>
          </w:tcPr>
          <w:p w14:paraId="6B874630"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Lung</w:t>
            </w:r>
          </w:p>
        </w:tc>
        <w:tc>
          <w:tcPr>
            <w:tcW w:w="2550" w:type="dxa"/>
          </w:tcPr>
          <w:p w14:paraId="3F9C7DD9"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31%-84% </w:t>
            </w:r>
          </w:p>
        </w:tc>
        <w:tc>
          <w:tcPr>
            <w:tcW w:w="1697" w:type="dxa"/>
          </w:tcPr>
          <w:p w14:paraId="7194C293"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w:t>
            </w:r>
          </w:p>
        </w:tc>
        <w:tc>
          <w:tcPr>
            <w:tcW w:w="2715" w:type="dxa"/>
          </w:tcPr>
          <w:p w14:paraId="72F96BF3" w14:textId="77777777" w:rsidR="00560D10" w:rsidRPr="005F2054" w:rsidRDefault="00560D10" w:rsidP="008603C2">
            <w:pPr>
              <w:spacing w:line="276" w:lineRule="auto"/>
              <w:rPr>
                <w:rFonts w:ascii="Arial" w:hAnsi="Arial" w:cs="Arial"/>
                <w:b/>
                <w:bCs/>
                <w:sz w:val="22"/>
                <w:szCs w:val="22"/>
                <w:lang w:val="en-US"/>
              </w:rPr>
            </w:pPr>
            <w:r w:rsidRPr="005F2054">
              <w:rPr>
                <w:rFonts w:ascii="Arial" w:hAnsi="Arial" w:cs="Arial"/>
                <w:b/>
                <w:bCs/>
                <w:sz w:val="22"/>
                <w:szCs w:val="22"/>
                <w:lang w:val="en-US"/>
              </w:rPr>
              <w:t xml:space="preserve">18-37% </w:t>
            </w:r>
          </w:p>
        </w:tc>
      </w:tr>
    </w:tbl>
    <w:p w14:paraId="0C97F3FE" w14:textId="77777777" w:rsidR="00560D10" w:rsidRPr="005F2054" w:rsidRDefault="00560D10" w:rsidP="00560D10">
      <w:pPr>
        <w:spacing w:after="0"/>
        <w:rPr>
          <w:rFonts w:ascii="Arial" w:hAnsi="Arial" w:cs="Arial"/>
          <w:lang w:val="en-US"/>
        </w:rPr>
      </w:pPr>
      <w:r w:rsidRPr="005F2054">
        <w:rPr>
          <w:rFonts w:ascii="Arial" w:hAnsi="Arial" w:cs="Arial"/>
          <w:lang w:val="en-US"/>
        </w:rPr>
        <w:t xml:space="preserve">* Using dual X-ray densitometry, Vertebral fracture incidence in the first </w:t>
      </w:r>
      <w:proofErr w:type="gramStart"/>
      <w:r w:rsidRPr="005F2054">
        <w:rPr>
          <w:rFonts w:ascii="Arial" w:hAnsi="Arial" w:cs="Arial"/>
          <w:lang w:val="en-US"/>
        </w:rPr>
        <w:t>years</w:t>
      </w:r>
      <w:proofErr w:type="gramEnd"/>
      <w:r w:rsidRPr="005F2054">
        <w:rPr>
          <w:rFonts w:ascii="Arial" w:hAnsi="Arial" w:cs="Arial"/>
          <w:lang w:val="en-US"/>
        </w:rPr>
        <w:t xml:space="preserve"> post-transplantation. References: 1,2,5,6,7,8,9,10,38,120,121,122,123,124, 125,126.</w:t>
      </w:r>
    </w:p>
    <w:p w14:paraId="3C7804AE" w14:textId="77777777" w:rsidR="00560D10" w:rsidRDefault="00560D10" w:rsidP="00560D10">
      <w:pPr>
        <w:spacing w:after="0"/>
        <w:contextualSpacing/>
        <w:rPr>
          <w:rFonts w:ascii="Arial" w:eastAsia="Times New Roman" w:hAnsi="Arial" w:cs="Arial"/>
          <w:b/>
          <w:color w:val="4F6228" w:themeColor="accent3" w:themeShade="80"/>
          <w:lang w:val="en-GB"/>
        </w:rPr>
      </w:pPr>
    </w:p>
    <w:p w14:paraId="166B88EE" w14:textId="4077487C" w:rsidR="00972BE5" w:rsidRDefault="00E6410E"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 xml:space="preserve">Bone loss appears to be more significant during the first year after transplantation across all types of organ transplants, primarily affecting </w:t>
      </w:r>
      <w:r w:rsidR="00897F4F" w:rsidRPr="005F2054">
        <w:rPr>
          <w:rFonts w:ascii="Arial" w:eastAsia="Times New Roman" w:hAnsi="Arial" w:cs="Arial"/>
          <w:color w:val="141413"/>
          <w:lang w:val="en-GB"/>
        </w:rPr>
        <w:t xml:space="preserve">trabecular bone, including the vertebrae and peripheral skeleton. </w:t>
      </w:r>
      <w:r w:rsidR="00EF4F0F" w:rsidRPr="005F2054">
        <w:rPr>
          <w:rFonts w:ascii="Arial" w:eastAsia="Times New Roman" w:hAnsi="Arial" w:cs="Arial"/>
          <w:color w:val="141413"/>
          <w:lang w:val="en-GB"/>
        </w:rPr>
        <w:t>W</w:t>
      </w:r>
      <w:r w:rsidR="00FD0EF4" w:rsidRPr="005F2054">
        <w:rPr>
          <w:rFonts w:ascii="Arial" w:eastAsia="Times New Roman" w:hAnsi="Arial" w:cs="Arial"/>
          <w:color w:val="141413"/>
          <w:lang w:val="en-GB"/>
        </w:rPr>
        <w:t xml:space="preserve">hen </w:t>
      </w:r>
      <w:r w:rsidR="00560D10" w:rsidRPr="005F2054">
        <w:rPr>
          <w:rFonts w:ascii="Arial" w:eastAsia="Times New Roman" w:hAnsi="Arial" w:cs="Arial"/>
          <w:color w:val="141413"/>
          <w:lang w:val="en-GB"/>
        </w:rPr>
        <w:t>analysing</w:t>
      </w:r>
      <w:r w:rsidR="00FD0EF4" w:rsidRPr="005F2054">
        <w:rPr>
          <w:rFonts w:ascii="Arial" w:eastAsia="Times New Roman" w:hAnsi="Arial" w:cs="Arial"/>
          <w:color w:val="141413"/>
          <w:lang w:val="en-GB"/>
        </w:rPr>
        <w:t xml:space="preserve"> the incidence rate of osteoporosis per 1000 </w:t>
      </w:r>
      <w:r w:rsidR="00EA3C94" w:rsidRPr="005F2054">
        <w:rPr>
          <w:rFonts w:ascii="Arial" w:eastAsia="Times New Roman" w:hAnsi="Arial" w:cs="Arial"/>
          <w:color w:val="141413"/>
          <w:lang w:val="en-GB"/>
        </w:rPr>
        <w:t>person-years</w:t>
      </w:r>
      <w:r w:rsidR="00FD0EF4" w:rsidRPr="005F2054">
        <w:rPr>
          <w:rFonts w:ascii="Arial" w:eastAsia="Times New Roman" w:hAnsi="Arial" w:cs="Arial"/>
          <w:color w:val="141413"/>
          <w:lang w:val="en-GB"/>
        </w:rPr>
        <w:t>, heart</w:t>
      </w:r>
      <w:r w:rsidR="00481A2B" w:rsidRPr="005F2054">
        <w:rPr>
          <w:rFonts w:ascii="Arial" w:eastAsia="Times New Roman" w:hAnsi="Arial" w:cs="Arial"/>
          <w:color w:val="141413"/>
          <w:lang w:val="en-GB"/>
        </w:rPr>
        <w:t xml:space="preserve"> and </w:t>
      </w:r>
      <w:r w:rsidR="00FD0EF4" w:rsidRPr="005F2054">
        <w:rPr>
          <w:rFonts w:ascii="Arial" w:eastAsia="Times New Roman" w:hAnsi="Arial" w:cs="Arial"/>
          <w:color w:val="141413"/>
          <w:lang w:val="en-GB"/>
        </w:rPr>
        <w:t>lung transplants have</w:t>
      </w:r>
      <w:r w:rsidR="00972BE5" w:rsidRPr="005F2054">
        <w:rPr>
          <w:rFonts w:ascii="Arial" w:eastAsia="Times New Roman" w:hAnsi="Arial" w:cs="Arial"/>
          <w:color w:val="141413"/>
          <w:lang w:val="en-GB"/>
        </w:rPr>
        <w:t xml:space="preserve"> the highest rates at 6.00</w:t>
      </w:r>
      <w:r w:rsidR="00FF3970" w:rsidRPr="005F2054">
        <w:rPr>
          <w:rFonts w:ascii="Arial" w:eastAsia="Times New Roman" w:hAnsi="Arial" w:cs="Arial"/>
          <w:color w:val="141413"/>
          <w:lang w:val="en-GB"/>
        </w:rPr>
        <w:t>, compared</w:t>
      </w:r>
      <w:r w:rsidR="00972BE5" w:rsidRPr="005F2054">
        <w:rPr>
          <w:rFonts w:ascii="Arial" w:eastAsia="Times New Roman" w:hAnsi="Arial" w:cs="Arial"/>
          <w:color w:val="141413"/>
          <w:lang w:val="en-GB"/>
        </w:rPr>
        <w:t xml:space="preserve"> to </w:t>
      </w:r>
      <w:r w:rsidR="00FD0EF4" w:rsidRPr="005F2054">
        <w:rPr>
          <w:rFonts w:ascii="Arial" w:eastAsia="Times New Roman" w:hAnsi="Arial" w:cs="Arial"/>
          <w:color w:val="141413"/>
          <w:lang w:val="en-GB"/>
        </w:rPr>
        <w:t>4.17 and 4.09 for liver and kidney transplants</w:t>
      </w:r>
      <w:r w:rsidR="00972BE5" w:rsidRPr="005F2054">
        <w:rPr>
          <w:rFonts w:ascii="Arial" w:eastAsia="Times New Roman" w:hAnsi="Arial" w:cs="Arial"/>
          <w:color w:val="141413"/>
          <w:lang w:val="en-GB"/>
        </w:rPr>
        <w:t xml:space="preserve">, </w:t>
      </w:r>
      <w:r w:rsidR="00FF3970" w:rsidRPr="005F2054">
        <w:rPr>
          <w:rFonts w:ascii="Arial" w:eastAsia="Times New Roman" w:hAnsi="Arial" w:cs="Arial"/>
          <w:color w:val="141413"/>
          <w:lang w:val="en-GB"/>
        </w:rPr>
        <w:t>respectively. A</w:t>
      </w:r>
      <w:r w:rsidR="00FD0EF4" w:rsidRPr="005F2054">
        <w:rPr>
          <w:rFonts w:ascii="Arial" w:eastAsia="Times New Roman" w:hAnsi="Arial" w:cs="Arial"/>
          <w:color w:val="141413"/>
          <w:lang w:val="en-GB"/>
        </w:rPr>
        <w:t xml:space="preserve"> </w:t>
      </w:r>
      <w:r w:rsidR="007C102F" w:rsidRPr="005F2054">
        <w:rPr>
          <w:rFonts w:ascii="Arial" w:eastAsia="Times New Roman" w:hAnsi="Arial" w:cs="Arial"/>
          <w:color w:val="141413"/>
          <w:lang w:val="en-GB"/>
        </w:rPr>
        <w:t>significant</w:t>
      </w:r>
      <w:r w:rsidR="00FD0EF4" w:rsidRPr="005F2054">
        <w:rPr>
          <w:rFonts w:ascii="Arial" w:eastAsia="Times New Roman" w:hAnsi="Arial" w:cs="Arial"/>
          <w:color w:val="141413"/>
          <w:lang w:val="en-GB"/>
        </w:rPr>
        <w:t xml:space="preserve"> increase </w:t>
      </w:r>
      <w:r w:rsidR="00972BE5" w:rsidRPr="005F2054">
        <w:rPr>
          <w:rFonts w:ascii="Arial" w:eastAsia="Times New Roman" w:hAnsi="Arial" w:cs="Arial"/>
          <w:color w:val="141413"/>
          <w:lang w:val="en-GB"/>
        </w:rPr>
        <w:t xml:space="preserve">was </w:t>
      </w:r>
      <w:r w:rsidR="00FD0EF4" w:rsidRPr="005F2054">
        <w:rPr>
          <w:rFonts w:ascii="Arial" w:eastAsia="Times New Roman" w:hAnsi="Arial" w:cs="Arial"/>
          <w:color w:val="141413"/>
          <w:lang w:val="en-GB"/>
        </w:rPr>
        <w:t>also</w:t>
      </w:r>
      <w:r w:rsidR="00972BE5" w:rsidRPr="005F2054">
        <w:rPr>
          <w:rFonts w:ascii="Arial" w:eastAsia="Times New Roman" w:hAnsi="Arial" w:cs="Arial"/>
          <w:color w:val="141413"/>
          <w:lang w:val="en-GB"/>
        </w:rPr>
        <w:t xml:space="preserve"> observed in heart and lung transplant recipients, with a rate of </w:t>
      </w:r>
      <w:r w:rsidR="00FD0EF4" w:rsidRPr="005F2054">
        <w:rPr>
          <w:rFonts w:ascii="Arial" w:eastAsia="Times New Roman" w:hAnsi="Arial" w:cs="Arial"/>
          <w:color w:val="141413"/>
          <w:lang w:val="en-GB"/>
        </w:rPr>
        <w:t xml:space="preserve">9.36 </w:t>
      </w:r>
      <w:r w:rsidR="00972BE5" w:rsidRPr="005F2054">
        <w:rPr>
          <w:rFonts w:ascii="Arial" w:eastAsia="Times New Roman" w:hAnsi="Arial" w:cs="Arial"/>
          <w:color w:val="141413"/>
          <w:lang w:val="en-GB"/>
        </w:rPr>
        <w:t>per 1.000 person-years, compared to 2</w:t>
      </w:r>
      <w:r w:rsidR="00FD0EF4" w:rsidRPr="005F2054">
        <w:rPr>
          <w:rFonts w:ascii="Arial" w:eastAsia="Times New Roman" w:hAnsi="Arial" w:cs="Arial"/>
          <w:color w:val="141413"/>
          <w:lang w:val="en-GB"/>
        </w:rPr>
        <w:t xml:space="preserve">.44 </w:t>
      </w:r>
      <w:r w:rsidR="00972BE5" w:rsidRPr="005F2054">
        <w:rPr>
          <w:rFonts w:ascii="Arial" w:eastAsia="Times New Roman" w:hAnsi="Arial" w:cs="Arial"/>
          <w:color w:val="141413"/>
          <w:lang w:val="en-GB"/>
        </w:rPr>
        <w:t xml:space="preserve">for liver transplants and </w:t>
      </w:r>
      <w:r w:rsidR="00FD0EF4" w:rsidRPr="005F2054">
        <w:rPr>
          <w:rFonts w:ascii="Arial" w:eastAsia="Times New Roman" w:hAnsi="Arial" w:cs="Arial"/>
          <w:color w:val="141413"/>
          <w:lang w:val="en-GB"/>
        </w:rPr>
        <w:t xml:space="preserve">1.98 for kidney </w:t>
      </w:r>
      <w:r w:rsidR="00057B47" w:rsidRPr="00D7373F">
        <w:rPr>
          <w:rFonts w:ascii="Arial" w:eastAsia="Times New Roman" w:hAnsi="Arial" w:cs="Arial"/>
          <w:lang w:val="en-GB"/>
        </w:rPr>
        <w:t>transplants. (</w:t>
      </w:r>
      <w:r w:rsidR="0043028C" w:rsidRPr="00D7373F">
        <w:rPr>
          <w:rFonts w:ascii="Arial" w:eastAsia="Times New Roman" w:hAnsi="Arial" w:cs="Arial"/>
          <w:lang w:val="en-GB"/>
        </w:rPr>
        <w:t>27</w:t>
      </w:r>
      <w:r w:rsidR="00FD0EF4" w:rsidRPr="00D7373F">
        <w:rPr>
          <w:rFonts w:ascii="Arial" w:eastAsia="Times New Roman" w:hAnsi="Arial" w:cs="Arial"/>
          <w:lang w:val="en-GB"/>
        </w:rPr>
        <w:t xml:space="preserve">). </w:t>
      </w:r>
      <w:r w:rsidR="00972BE5" w:rsidRPr="00D7373F">
        <w:rPr>
          <w:rFonts w:ascii="Arial" w:eastAsia="Times New Roman" w:hAnsi="Arial" w:cs="Arial"/>
          <w:lang w:val="en-GB"/>
        </w:rPr>
        <w:t xml:space="preserve">These </w:t>
      </w:r>
      <w:r w:rsidR="00972891" w:rsidRPr="00D7373F">
        <w:rPr>
          <w:rFonts w:ascii="Arial" w:eastAsia="Times New Roman" w:hAnsi="Arial" w:cs="Arial"/>
          <w:lang w:val="en-GB"/>
        </w:rPr>
        <w:t>difference</w:t>
      </w:r>
      <w:r w:rsidR="00BF601F" w:rsidRPr="00D7373F">
        <w:rPr>
          <w:rFonts w:ascii="Arial" w:eastAsia="Times New Roman" w:hAnsi="Arial" w:cs="Arial"/>
          <w:lang w:val="en-GB"/>
        </w:rPr>
        <w:t>s</w:t>
      </w:r>
      <w:r w:rsidR="00972891" w:rsidRPr="00D7373F">
        <w:rPr>
          <w:rFonts w:ascii="Arial" w:eastAsia="Times New Roman" w:hAnsi="Arial" w:cs="Arial"/>
          <w:lang w:val="en-GB"/>
        </w:rPr>
        <w:t xml:space="preserve"> </w:t>
      </w:r>
      <w:r w:rsidR="00972BE5" w:rsidRPr="00D7373F">
        <w:rPr>
          <w:rFonts w:ascii="Arial" w:eastAsia="Times New Roman" w:hAnsi="Arial" w:cs="Arial"/>
          <w:lang w:val="en-GB"/>
        </w:rPr>
        <w:t>are likely influenced by variations in immun</w:t>
      </w:r>
      <w:r w:rsidR="00972891" w:rsidRPr="00D7373F">
        <w:rPr>
          <w:rFonts w:ascii="Arial" w:eastAsia="Times New Roman" w:hAnsi="Arial" w:cs="Arial"/>
          <w:lang w:val="en-GB"/>
        </w:rPr>
        <w:t>os</w:t>
      </w:r>
      <w:r w:rsidR="00BF601F" w:rsidRPr="00D7373F">
        <w:rPr>
          <w:rFonts w:ascii="Arial" w:eastAsia="Times New Roman" w:hAnsi="Arial" w:cs="Arial"/>
          <w:lang w:val="en-GB"/>
        </w:rPr>
        <w:t>up</w:t>
      </w:r>
      <w:r w:rsidR="00972891" w:rsidRPr="00D7373F">
        <w:rPr>
          <w:rFonts w:ascii="Arial" w:eastAsia="Times New Roman" w:hAnsi="Arial" w:cs="Arial"/>
          <w:lang w:val="en-GB"/>
        </w:rPr>
        <w:t xml:space="preserve">pressive regimens </w:t>
      </w:r>
      <w:r w:rsidR="00972BE5" w:rsidRPr="00D7373F">
        <w:rPr>
          <w:rFonts w:ascii="Arial" w:eastAsia="Times New Roman" w:hAnsi="Arial" w:cs="Arial"/>
          <w:lang w:val="en-GB"/>
        </w:rPr>
        <w:t xml:space="preserve">and the use of lower steroid doses. </w:t>
      </w:r>
    </w:p>
    <w:p w14:paraId="60B88DFD" w14:textId="77777777" w:rsidR="00D7373F" w:rsidRPr="00D7373F" w:rsidRDefault="00D7373F" w:rsidP="005F2054">
      <w:pPr>
        <w:spacing w:after="0"/>
        <w:contextualSpacing/>
        <w:rPr>
          <w:rFonts w:ascii="Arial" w:eastAsia="Times New Roman" w:hAnsi="Arial" w:cs="Arial"/>
          <w:lang w:val="en-GB"/>
        </w:rPr>
      </w:pPr>
    </w:p>
    <w:p w14:paraId="7F30E1B6" w14:textId="1B545B4B" w:rsidR="00341493" w:rsidRDefault="005B3AAC" w:rsidP="005F2054">
      <w:pPr>
        <w:spacing w:after="0"/>
        <w:contextualSpacing/>
        <w:rPr>
          <w:rFonts w:ascii="Arial" w:eastAsia="Times New Roman" w:hAnsi="Arial" w:cs="Arial"/>
          <w:color w:val="141413"/>
          <w:lang w:val="en-GB"/>
        </w:rPr>
      </w:pPr>
      <w:r w:rsidRPr="00D7373F">
        <w:rPr>
          <w:rFonts w:ascii="Arial" w:eastAsia="Times New Roman" w:hAnsi="Arial" w:cs="Arial"/>
          <w:lang w:val="en-GB"/>
        </w:rPr>
        <w:t>There are inconclusi</w:t>
      </w:r>
      <w:r w:rsidR="00BD6F54" w:rsidRPr="00D7373F">
        <w:rPr>
          <w:rFonts w:ascii="Arial" w:eastAsia="Times New Roman" w:hAnsi="Arial" w:cs="Arial"/>
          <w:lang w:val="en-GB"/>
        </w:rPr>
        <w:t>v</w:t>
      </w:r>
      <w:r w:rsidRPr="00D7373F">
        <w:rPr>
          <w:rFonts w:ascii="Arial" w:eastAsia="Times New Roman" w:hAnsi="Arial" w:cs="Arial"/>
          <w:lang w:val="en-GB"/>
        </w:rPr>
        <w:t xml:space="preserve">e </w:t>
      </w:r>
      <w:r w:rsidR="00FF3970" w:rsidRPr="00D7373F">
        <w:rPr>
          <w:rFonts w:ascii="Arial" w:eastAsia="Times New Roman" w:hAnsi="Arial" w:cs="Arial"/>
          <w:lang w:val="en-GB"/>
        </w:rPr>
        <w:t xml:space="preserve">findings regarding bone mass recovery in transplant recipients beyond the first year, with studies reporting decreases, increases, or stabilization (30,31). </w:t>
      </w:r>
      <w:r w:rsidR="00F94B10" w:rsidRPr="00D7373F">
        <w:rPr>
          <w:rFonts w:ascii="Arial" w:eastAsia="Times New Roman" w:hAnsi="Arial" w:cs="Arial"/>
          <w:lang w:val="en-GB"/>
        </w:rPr>
        <w:t xml:space="preserve">After five years of follow-up, </w:t>
      </w:r>
      <w:r w:rsidR="00CB503E" w:rsidRPr="00D7373F">
        <w:rPr>
          <w:rFonts w:ascii="Arial" w:eastAsia="Times New Roman" w:hAnsi="Arial" w:cs="Arial"/>
          <w:lang w:val="en-GB"/>
        </w:rPr>
        <w:t>hip</w:t>
      </w:r>
      <w:r w:rsidR="00F94B10" w:rsidRPr="00D7373F">
        <w:rPr>
          <w:rFonts w:ascii="Arial" w:eastAsia="Times New Roman" w:hAnsi="Arial" w:cs="Arial"/>
          <w:lang w:val="en-GB"/>
        </w:rPr>
        <w:t xml:space="preserve"> BMD</w:t>
      </w:r>
      <w:r w:rsidR="00FF3970" w:rsidRPr="00D7373F">
        <w:rPr>
          <w:rFonts w:ascii="Arial" w:eastAsia="Times New Roman" w:hAnsi="Arial" w:cs="Arial"/>
          <w:lang w:val="en-GB"/>
        </w:rPr>
        <w:t xml:space="preserve"> often remains </w:t>
      </w:r>
      <w:r w:rsidR="00F94B10" w:rsidRPr="00D7373F">
        <w:rPr>
          <w:rFonts w:ascii="Arial" w:eastAsia="Times New Roman" w:hAnsi="Arial" w:cs="Arial"/>
          <w:lang w:val="en-GB"/>
        </w:rPr>
        <w:t xml:space="preserve">lower </w:t>
      </w:r>
      <w:r w:rsidR="00FF3970" w:rsidRPr="00D7373F">
        <w:rPr>
          <w:rFonts w:ascii="Arial" w:eastAsia="Times New Roman" w:hAnsi="Arial" w:cs="Arial"/>
          <w:lang w:val="en-GB"/>
        </w:rPr>
        <w:t xml:space="preserve">than </w:t>
      </w:r>
      <w:r w:rsidR="00F94B10" w:rsidRPr="00D7373F">
        <w:rPr>
          <w:rFonts w:ascii="Arial" w:eastAsia="Times New Roman" w:hAnsi="Arial" w:cs="Arial"/>
          <w:lang w:val="en-GB"/>
        </w:rPr>
        <w:t xml:space="preserve">pre-transplant </w:t>
      </w:r>
      <w:r w:rsidR="00FF3970" w:rsidRPr="00D7373F">
        <w:rPr>
          <w:rFonts w:ascii="Arial" w:eastAsia="Times New Roman" w:hAnsi="Arial" w:cs="Arial"/>
          <w:lang w:val="en-GB"/>
        </w:rPr>
        <w:t xml:space="preserve">levels in many patients, </w:t>
      </w:r>
      <w:proofErr w:type="gramStart"/>
      <w:r w:rsidR="00FF3970" w:rsidRPr="00D7373F">
        <w:rPr>
          <w:rFonts w:ascii="Arial" w:eastAsia="Times New Roman" w:hAnsi="Arial" w:cs="Arial"/>
          <w:lang w:val="en-GB"/>
        </w:rPr>
        <w:t>similar to</w:t>
      </w:r>
      <w:proofErr w:type="gramEnd"/>
      <w:r w:rsidR="00FF3970" w:rsidRPr="00D7373F">
        <w:rPr>
          <w:rFonts w:ascii="Arial" w:eastAsia="Times New Roman" w:hAnsi="Arial" w:cs="Arial"/>
          <w:lang w:val="en-GB"/>
        </w:rPr>
        <w:t xml:space="preserve"> trends observed in quality-of-life assessments. </w:t>
      </w:r>
      <w:r w:rsidR="00F94B10" w:rsidRPr="00D7373F">
        <w:rPr>
          <w:rFonts w:ascii="Arial" w:eastAsia="Times New Roman" w:hAnsi="Arial" w:cs="Arial"/>
          <w:lang w:val="en-GB"/>
        </w:rPr>
        <w:t>(</w:t>
      </w:r>
      <w:r w:rsidR="00235200" w:rsidRPr="00D7373F">
        <w:rPr>
          <w:rFonts w:ascii="Arial" w:eastAsia="Times New Roman" w:hAnsi="Arial" w:cs="Arial"/>
          <w:lang w:val="en-GB"/>
        </w:rPr>
        <w:t>3</w:t>
      </w:r>
      <w:r w:rsidR="00D94C35" w:rsidRPr="00D7373F">
        <w:rPr>
          <w:rFonts w:ascii="Arial" w:eastAsia="Times New Roman" w:hAnsi="Arial" w:cs="Arial"/>
          <w:lang w:val="en-GB"/>
        </w:rPr>
        <w:t>2</w:t>
      </w:r>
      <w:r w:rsidR="00235200" w:rsidRPr="00D7373F">
        <w:rPr>
          <w:rFonts w:ascii="Arial" w:eastAsia="Times New Roman" w:hAnsi="Arial" w:cs="Arial"/>
          <w:lang w:val="en-GB"/>
        </w:rPr>
        <w:t>).</w:t>
      </w:r>
      <w:r w:rsidR="00273C49">
        <w:rPr>
          <w:rFonts w:ascii="Arial" w:eastAsia="Times New Roman" w:hAnsi="Arial" w:cs="Arial"/>
          <w:lang w:val="en-GB"/>
        </w:rPr>
        <w:t xml:space="preserve"> </w:t>
      </w:r>
      <w:r w:rsidR="00124B97" w:rsidRPr="005F2054">
        <w:rPr>
          <w:rFonts w:ascii="Arial" w:eastAsia="Times New Roman" w:hAnsi="Arial" w:cs="Arial"/>
          <w:color w:val="141413"/>
          <w:lang w:val="en-GB"/>
        </w:rPr>
        <w:t xml:space="preserve">There is considerable overlap </w:t>
      </w:r>
      <w:r w:rsidR="00341493" w:rsidRPr="005F2054">
        <w:rPr>
          <w:rFonts w:ascii="Arial" w:eastAsia="Times New Roman" w:hAnsi="Arial" w:cs="Arial"/>
          <w:color w:val="141413"/>
          <w:lang w:val="en-GB"/>
        </w:rPr>
        <w:t>in BMD</w:t>
      </w:r>
      <w:r w:rsidR="00124B97" w:rsidRPr="005F2054">
        <w:rPr>
          <w:rFonts w:ascii="Arial" w:eastAsia="Times New Roman" w:hAnsi="Arial" w:cs="Arial"/>
          <w:color w:val="141413"/>
          <w:lang w:val="en-GB"/>
        </w:rPr>
        <w:t xml:space="preserve"> values between individuals who develop </w:t>
      </w:r>
      <w:r w:rsidR="007E7BBB" w:rsidRPr="005F2054">
        <w:rPr>
          <w:rFonts w:ascii="Arial" w:eastAsia="Times New Roman" w:hAnsi="Arial" w:cs="Arial"/>
          <w:color w:val="141413"/>
          <w:lang w:val="en-GB"/>
        </w:rPr>
        <w:t>fractures</w:t>
      </w:r>
      <w:r w:rsidR="00124B97" w:rsidRPr="005F2054">
        <w:rPr>
          <w:rFonts w:ascii="Arial" w:eastAsia="Times New Roman" w:hAnsi="Arial" w:cs="Arial"/>
          <w:color w:val="141413"/>
          <w:lang w:val="en-GB"/>
        </w:rPr>
        <w:t xml:space="preserve"> and those who do not. </w:t>
      </w:r>
      <w:r w:rsidR="00341493" w:rsidRPr="005F2054">
        <w:rPr>
          <w:rFonts w:ascii="Arial" w:eastAsia="Times New Roman" w:hAnsi="Arial" w:cs="Arial"/>
          <w:color w:val="141413"/>
          <w:lang w:val="en-GB"/>
        </w:rPr>
        <w:t xml:space="preserve">This suggests </w:t>
      </w:r>
      <w:r w:rsidR="00124B97" w:rsidRPr="005F2054">
        <w:rPr>
          <w:rFonts w:ascii="Arial" w:eastAsia="Times New Roman" w:hAnsi="Arial" w:cs="Arial"/>
          <w:color w:val="141413"/>
          <w:lang w:val="en-GB"/>
        </w:rPr>
        <w:t>factors affecting bone quality</w:t>
      </w:r>
      <w:r w:rsidR="00341493" w:rsidRPr="005F2054">
        <w:rPr>
          <w:rFonts w:ascii="Arial" w:eastAsia="Times New Roman" w:hAnsi="Arial" w:cs="Arial"/>
          <w:color w:val="141413"/>
          <w:lang w:val="en-GB"/>
        </w:rPr>
        <w:t xml:space="preserve"> -such as </w:t>
      </w:r>
      <w:r w:rsidR="00124B97" w:rsidRPr="005F2054">
        <w:rPr>
          <w:rFonts w:ascii="Arial" w:eastAsia="Times New Roman" w:hAnsi="Arial" w:cs="Arial"/>
          <w:color w:val="141413"/>
          <w:lang w:val="en-GB"/>
        </w:rPr>
        <w:t>geometry, microarchitecture, and intrinsic properties of bone</w:t>
      </w:r>
      <w:r w:rsidR="00341493" w:rsidRPr="005F2054">
        <w:rPr>
          <w:rFonts w:ascii="Arial" w:eastAsia="Times New Roman" w:hAnsi="Arial" w:cs="Arial"/>
          <w:color w:val="141413"/>
          <w:lang w:val="en-GB"/>
        </w:rPr>
        <w:t xml:space="preserve">- may play a more significant role in fracture risk than bone quantity alone in transplant patients. </w:t>
      </w:r>
      <w:r w:rsidR="00124B97" w:rsidRPr="005F2054">
        <w:rPr>
          <w:rFonts w:ascii="Arial" w:eastAsia="Times New Roman" w:hAnsi="Arial" w:cs="Arial"/>
          <w:color w:val="141413"/>
          <w:lang w:val="en-GB"/>
        </w:rPr>
        <w:t xml:space="preserve"> </w:t>
      </w:r>
    </w:p>
    <w:p w14:paraId="1BA67050" w14:textId="77777777" w:rsidR="00D7373F" w:rsidRPr="005F2054" w:rsidRDefault="00D7373F" w:rsidP="005F2054">
      <w:pPr>
        <w:spacing w:after="0"/>
        <w:contextualSpacing/>
        <w:rPr>
          <w:rFonts w:ascii="Arial" w:eastAsia="Times New Roman" w:hAnsi="Arial" w:cs="Arial"/>
          <w:color w:val="141413"/>
          <w:lang w:val="en-GB"/>
        </w:rPr>
      </w:pPr>
    </w:p>
    <w:p w14:paraId="1287FA5A" w14:textId="74896EE4" w:rsidR="00EA2660" w:rsidRPr="00D7373F" w:rsidRDefault="00EA2660"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 xml:space="preserve">Trabecular Bone Score (TBS) </w:t>
      </w:r>
      <w:r w:rsidR="006A6C36" w:rsidRPr="005F2054">
        <w:rPr>
          <w:rFonts w:ascii="Arial" w:eastAsia="Times New Roman" w:hAnsi="Arial" w:cs="Arial"/>
          <w:color w:val="141413"/>
          <w:lang w:val="en-GB"/>
        </w:rPr>
        <w:t>a su</w:t>
      </w:r>
      <w:r w:rsidR="00740BA6" w:rsidRPr="005F2054">
        <w:rPr>
          <w:rFonts w:ascii="Arial" w:eastAsia="Times New Roman" w:hAnsi="Arial" w:cs="Arial"/>
          <w:color w:val="141413"/>
          <w:lang w:val="en-GB"/>
        </w:rPr>
        <w:t>rro</w:t>
      </w:r>
      <w:r w:rsidR="006A6C36" w:rsidRPr="005F2054">
        <w:rPr>
          <w:rFonts w:ascii="Arial" w:eastAsia="Times New Roman" w:hAnsi="Arial" w:cs="Arial"/>
          <w:color w:val="141413"/>
          <w:lang w:val="en-GB"/>
        </w:rPr>
        <w:t xml:space="preserve">gate of bone quality, has been shown </w:t>
      </w:r>
      <w:r w:rsidR="00BB38FA" w:rsidRPr="005F2054">
        <w:rPr>
          <w:rFonts w:ascii="Arial" w:eastAsia="Times New Roman" w:hAnsi="Arial" w:cs="Arial"/>
          <w:color w:val="141413"/>
          <w:lang w:val="en-GB"/>
        </w:rPr>
        <w:t>to deteriorate</w:t>
      </w:r>
      <w:r w:rsidR="006A6C36" w:rsidRPr="005F2054">
        <w:rPr>
          <w:rFonts w:ascii="Arial" w:eastAsia="Times New Roman" w:hAnsi="Arial" w:cs="Arial"/>
          <w:color w:val="141413"/>
          <w:lang w:val="en-GB"/>
        </w:rPr>
        <w:t xml:space="preserve"> </w:t>
      </w:r>
      <w:r w:rsidR="00740BA6" w:rsidRPr="005F2054">
        <w:rPr>
          <w:rFonts w:ascii="Arial" w:eastAsia="Times New Roman" w:hAnsi="Arial" w:cs="Arial"/>
          <w:color w:val="141413"/>
          <w:lang w:val="en-GB"/>
        </w:rPr>
        <w:t xml:space="preserve">for up to a year after </w:t>
      </w:r>
      <w:r w:rsidR="006A6C36" w:rsidRPr="005F2054">
        <w:rPr>
          <w:rFonts w:ascii="Arial" w:eastAsia="Times New Roman" w:hAnsi="Arial" w:cs="Arial"/>
          <w:color w:val="141413"/>
          <w:lang w:val="en-GB"/>
        </w:rPr>
        <w:t xml:space="preserve">solid organ </w:t>
      </w:r>
      <w:r w:rsidR="00057B47" w:rsidRPr="005F2054">
        <w:rPr>
          <w:rFonts w:ascii="Arial" w:eastAsia="Times New Roman" w:hAnsi="Arial" w:cs="Arial"/>
          <w:color w:val="141413"/>
          <w:lang w:val="en-GB"/>
        </w:rPr>
        <w:t>transplantation, even</w:t>
      </w:r>
      <w:r w:rsidR="00740BA6" w:rsidRPr="005F2054">
        <w:rPr>
          <w:rFonts w:ascii="Arial" w:eastAsia="Times New Roman" w:hAnsi="Arial" w:cs="Arial"/>
          <w:color w:val="141413"/>
          <w:lang w:val="en-GB"/>
        </w:rPr>
        <w:t xml:space="preserve"> with therapeutic interventions, such as risedronate, ibandronate, vitamin D, and calcium, and without </w:t>
      </w:r>
      <w:r w:rsidR="00057B47" w:rsidRPr="005F2054">
        <w:rPr>
          <w:rFonts w:ascii="Arial" w:eastAsia="Times New Roman" w:hAnsi="Arial" w:cs="Arial"/>
          <w:color w:val="141413"/>
          <w:lang w:val="en-GB"/>
        </w:rPr>
        <w:t>correlation</w:t>
      </w:r>
      <w:r w:rsidR="00740BA6" w:rsidRPr="005F2054">
        <w:rPr>
          <w:rFonts w:ascii="Arial" w:eastAsia="Times New Roman" w:hAnsi="Arial" w:cs="Arial"/>
          <w:color w:val="141413"/>
          <w:lang w:val="en-GB"/>
        </w:rPr>
        <w:t xml:space="preserve"> with BMD. </w:t>
      </w:r>
      <w:r w:rsidR="00057B47" w:rsidRPr="005F2054">
        <w:rPr>
          <w:rFonts w:ascii="Arial" w:eastAsia="Times New Roman" w:hAnsi="Arial" w:cs="Arial"/>
          <w:color w:val="141413"/>
          <w:lang w:val="en-GB"/>
        </w:rPr>
        <w:t xml:space="preserve">However, after one year, TBS improved and has been identified as a strong and independent predictor of </w:t>
      </w:r>
      <w:r w:rsidR="00057B47" w:rsidRPr="00D7373F">
        <w:rPr>
          <w:rFonts w:ascii="Arial" w:eastAsia="Times New Roman" w:hAnsi="Arial" w:cs="Arial"/>
          <w:lang w:val="en-GB"/>
        </w:rPr>
        <w:t xml:space="preserve">fragility fractures </w:t>
      </w:r>
      <w:r w:rsidR="000D36B9" w:rsidRPr="00D7373F">
        <w:rPr>
          <w:rFonts w:ascii="Arial" w:eastAsia="Times New Roman" w:hAnsi="Arial" w:cs="Arial"/>
          <w:lang w:val="en-GB"/>
        </w:rPr>
        <w:t>(</w:t>
      </w:r>
      <w:r w:rsidR="006A6C36" w:rsidRPr="00D7373F">
        <w:rPr>
          <w:rFonts w:ascii="Arial" w:eastAsia="Times New Roman" w:hAnsi="Arial" w:cs="Arial"/>
          <w:lang w:val="en-GB"/>
        </w:rPr>
        <w:t>33,34).</w:t>
      </w:r>
    </w:p>
    <w:p w14:paraId="6E5B3A21" w14:textId="77777777" w:rsidR="00BE5D69" w:rsidRPr="005F2054" w:rsidRDefault="00BE5D69" w:rsidP="005F2054">
      <w:pPr>
        <w:spacing w:after="0"/>
        <w:contextualSpacing/>
        <w:rPr>
          <w:rFonts w:ascii="Arial" w:eastAsia="Times New Roman" w:hAnsi="Arial" w:cs="Arial"/>
          <w:color w:val="FF0000"/>
          <w:lang w:val="en-GB"/>
        </w:rPr>
      </w:pPr>
    </w:p>
    <w:p w14:paraId="5678CD15" w14:textId="79453159" w:rsidR="005810A0" w:rsidRPr="005F2054" w:rsidRDefault="00E665B9" w:rsidP="005F2054">
      <w:pPr>
        <w:spacing w:after="0"/>
        <w:contextualSpacing/>
        <w:rPr>
          <w:rFonts w:ascii="Arial" w:eastAsia="Times New Roman" w:hAnsi="Arial" w:cs="Arial"/>
          <w:b/>
          <w:color w:val="4F6228" w:themeColor="accent3" w:themeShade="80"/>
          <w:lang w:val="en-GB"/>
        </w:rPr>
      </w:pPr>
      <w:r w:rsidRPr="005F2054">
        <w:rPr>
          <w:rFonts w:ascii="Arial" w:eastAsia="Times New Roman" w:hAnsi="Arial" w:cs="Arial"/>
          <w:b/>
          <w:color w:val="4F6228" w:themeColor="accent3" w:themeShade="80"/>
          <w:lang w:val="en-GB"/>
        </w:rPr>
        <w:t>K</w:t>
      </w:r>
      <w:r w:rsidR="00D7373F">
        <w:rPr>
          <w:rFonts w:ascii="Arial" w:eastAsia="Times New Roman" w:hAnsi="Arial" w:cs="Arial"/>
          <w:b/>
          <w:color w:val="4F6228" w:themeColor="accent3" w:themeShade="80"/>
          <w:lang w:val="en-GB"/>
        </w:rPr>
        <w:t xml:space="preserve">idney Disease </w:t>
      </w:r>
    </w:p>
    <w:p w14:paraId="19BF6579" w14:textId="77777777" w:rsidR="00D7373F" w:rsidRDefault="00D7373F" w:rsidP="005F2054">
      <w:pPr>
        <w:spacing w:after="0"/>
        <w:contextualSpacing/>
        <w:rPr>
          <w:rFonts w:ascii="Arial" w:eastAsia="Times New Roman" w:hAnsi="Arial" w:cs="Arial"/>
          <w:color w:val="141413"/>
          <w:lang w:val="en-GB"/>
        </w:rPr>
      </w:pPr>
    </w:p>
    <w:p w14:paraId="181B5427" w14:textId="6171B08C" w:rsidR="00053381" w:rsidRDefault="00801CE5"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As with other organ transplants, BMD loss</w:t>
      </w:r>
      <w:r w:rsidR="00103B5D" w:rsidRPr="005F2054">
        <w:rPr>
          <w:rFonts w:ascii="Arial" w:eastAsia="Times New Roman" w:hAnsi="Arial" w:cs="Arial"/>
          <w:color w:val="141413"/>
          <w:lang w:val="en-GB"/>
        </w:rPr>
        <w:t xml:space="preserve"> </w:t>
      </w:r>
      <w:r w:rsidRPr="005F2054">
        <w:rPr>
          <w:rFonts w:ascii="Arial" w:eastAsia="Times New Roman" w:hAnsi="Arial" w:cs="Arial"/>
          <w:color w:val="141413"/>
          <w:lang w:val="en-GB"/>
        </w:rPr>
        <w:t xml:space="preserve">in the first six months </w:t>
      </w:r>
      <w:r w:rsidR="00BF11CC" w:rsidRPr="005F2054">
        <w:rPr>
          <w:rFonts w:ascii="Arial" w:eastAsia="Times New Roman" w:hAnsi="Arial" w:cs="Arial"/>
          <w:color w:val="141413"/>
          <w:lang w:val="en-GB"/>
        </w:rPr>
        <w:t xml:space="preserve">after </w:t>
      </w:r>
      <w:r w:rsidR="00905513" w:rsidRPr="005F2054">
        <w:rPr>
          <w:rFonts w:ascii="Arial" w:eastAsia="Times New Roman" w:hAnsi="Arial" w:cs="Arial"/>
          <w:color w:val="141413"/>
          <w:lang w:val="en-GB"/>
        </w:rPr>
        <w:t xml:space="preserve">kidney </w:t>
      </w:r>
      <w:r w:rsidRPr="005F2054">
        <w:rPr>
          <w:rFonts w:ascii="Arial" w:eastAsia="Times New Roman" w:hAnsi="Arial" w:cs="Arial"/>
          <w:color w:val="141413"/>
          <w:lang w:val="en-GB"/>
        </w:rPr>
        <w:t>transplantation</w:t>
      </w:r>
      <w:r w:rsidR="00BF11CC" w:rsidRPr="005F2054">
        <w:rPr>
          <w:rFonts w:ascii="Arial" w:eastAsia="Times New Roman" w:hAnsi="Arial" w:cs="Arial"/>
          <w:color w:val="141413"/>
          <w:lang w:val="en-GB"/>
        </w:rPr>
        <w:t xml:space="preserve"> primarily</w:t>
      </w:r>
      <w:r w:rsidRPr="005F2054">
        <w:rPr>
          <w:rFonts w:ascii="Arial" w:eastAsia="Times New Roman" w:hAnsi="Arial" w:cs="Arial"/>
          <w:color w:val="141413"/>
          <w:lang w:val="en-GB"/>
        </w:rPr>
        <w:t xml:space="preserve"> </w:t>
      </w:r>
      <w:r w:rsidR="00BF11CC" w:rsidRPr="005F2054">
        <w:rPr>
          <w:rFonts w:ascii="Arial" w:eastAsia="Times New Roman" w:hAnsi="Arial" w:cs="Arial"/>
          <w:color w:val="141413"/>
          <w:lang w:val="en-GB"/>
        </w:rPr>
        <w:t xml:space="preserve">affects </w:t>
      </w:r>
      <w:r w:rsidRPr="005F2054">
        <w:rPr>
          <w:rFonts w:ascii="Arial" w:eastAsia="Times New Roman" w:hAnsi="Arial" w:cs="Arial"/>
          <w:color w:val="141413"/>
          <w:lang w:val="en-GB"/>
        </w:rPr>
        <w:t xml:space="preserve">cortical bones, </w:t>
      </w:r>
      <w:r w:rsidR="00BF11CC" w:rsidRPr="005F2054">
        <w:rPr>
          <w:rFonts w:ascii="Arial" w:eastAsia="Times New Roman" w:hAnsi="Arial" w:cs="Arial"/>
          <w:color w:val="141413"/>
          <w:lang w:val="en-GB"/>
        </w:rPr>
        <w:t xml:space="preserve">largely due to </w:t>
      </w:r>
      <w:r w:rsidRPr="005F2054">
        <w:rPr>
          <w:rFonts w:ascii="Arial" w:eastAsia="Times New Roman" w:hAnsi="Arial" w:cs="Arial"/>
          <w:color w:val="141413"/>
          <w:lang w:val="en-GB"/>
        </w:rPr>
        <w:t>persistent hyperparathyroidism</w:t>
      </w:r>
      <w:r w:rsidR="00AA79E1" w:rsidRPr="005F2054">
        <w:rPr>
          <w:rFonts w:ascii="Arial" w:eastAsia="Times New Roman" w:hAnsi="Arial" w:cs="Arial"/>
          <w:color w:val="141413"/>
          <w:lang w:val="en-GB"/>
        </w:rPr>
        <w:t xml:space="preserve"> and </w:t>
      </w:r>
      <w:r w:rsidR="00BF11CC" w:rsidRPr="005F2054">
        <w:rPr>
          <w:rFonts w:ascii="Arial" w:eastAsia="Times New Roman" w:hAnsi="Arial" w:cs="Arial"/>
          <w:color w:val="141413"/>
          <w:lang w:val="en-GB"/>
        </w:rPr>
        <w:t>glucocorticoid use</w:t>
      </w:r>
      <w:r w:rsidR="00AA79E1" w:rsidRPr="005F2054">
        <w:rPr>
          <w:rFonts w:ascii="Arial" w:eastAsia="Times New Roman" w:hAnsi="Arial" w:cs="Arial"/>
          <w:color w:val="141413"/>
          <w:lang w:val="en-GB"/>
        </w:rPr>
        <w:t xml:space="preserve">. </w:t>
      </w:r>
      <w:r w:rsidR="00D14126" w:rsidRPr="005F2054">
        <w:rPr>
          <w:rFonts w:ascii="Arial" w:eastAsia="Times New Roman" w:hAnsi="Arial" w:cs="Arial"/>
          <w:color w:val="141413"/>
          <w:lang w:val="en-GB"/>
        </w:rPr>
        <w:t>It is estimated that 30% to 50% of patients continued to have hyperparathyroidism post-</w:t>
      </w:r>
      <w:r w:rsidR="00D14126" w:rsidRPr="00D7373F">
        <w:rPr>
          <w:rFonts w:ascii="Arial" w:eastAsia="Times New Roman" w:hAnsi="Arial" w:cs="Arial"/>
          <w:lang w:val="en-GB"/>
        </w:rPr>
        <w:t>transplant (</w:t>
      </w:r>
      <w:r w:rsidR="001947F0" w:rsidRPr="00D7373F">
        <w:rPr>
          <w:rFonts w:ascii="Arial" w:eastAsia="Times New Roman" w:hAnsi="Arial" w:cs="Arial"/>
          <w:lang w:val="en-GB"/>
        </w:rPr>
        <w:t>35</w:t>
      </w:r>
      <w:r w:rsidR="00D14126" w:rsidRPr="00D7373F">
        <w:rPr>
          <w:rFonts w:ascii="Arial" w:eastAsia="Times New Roman" w:hAnsi="Arial" w:cs="Arial"/>
          <w:lang w:val="en-GB"/>
        </w:rPr>
        <w:t xml:space="preserve">). </w:t>
      </w:r>
      <w:r w:rsidR="00053381" w:rsidRPr="00D7373F">
        <w:rPr>
          <w:rFonts w:ascii="Arial" w:eastAsia="Times New Roman" w:hAnsi="Arial" w:cs="Arial"/>
          <w:lang w:val="en-GB"/>
        </w:rPr>
        <w:t>Specific risk factors for bone loss in kidney transplant recipients include previous chronic kidney disease, duration of dialysis, and hypomagnesemia. Additionally, patients with diabetes mellitus and nephropathy, have an increased risk of bone loss.</w:t>
      </w:r>
      <w:r w:rsidR="00AA79E1" w:rsidRPr="00D7373F">
        <w:rPr>
          <w:rFonts w:ascii="Arial" w:eastAsia="Times New Roman" w:hAnsi="Arial" w:cs="Arial"/>
          <w:lang w:val="en-GB"/>
        </w:rPr>
        <w:t xml:space="preserve"> </w:t>
      </w:r>
    </w:p>
    <w:p w14:paraId="68F67F9D" w14:textId="77777777" w:rsidR="00D7373F" w:rsidRPr="00D7373F" w:rsidRDefault="00D7373F" w:rsidP="005F2054">
      <w:pPr>
        <w:spacing w:after="0"/>
        <w:contextualSpacing/>
        <w:rPr>
          <w:rFonts w:ascii="Arial" w:eastAsia="Times New Roman" w:hAnsi="Arial" w:cs="Arial"/>
          <w:lang w:val="en-GB"/>
        </w:rPr>
      </w:pPr>
    </w:p>
    <w:p w14:paraId="00EAFF0E" w14:textId="3E75C92E" w:rsidR="00E82ED6" w:rsidRDefault="00053381" w:rsidP="005F2054">
      <w:pPr>
        <w:spacing w:after="0"/>
        <w:contextualSpacing/>
        <w:rPr>
          <w:rFonts w:ascii="Arial" w:eastAsia="Times New Roman" w:hAnsi="Arial" w:cs="Arial"/>
          <w:color w:val="141413"/>
          <w:lang w:val="en-GB"/>
        </w:rPr>
      </w:pPr>
      <w:r w:rsidRPr="00D7373F">
        <w:rPr>
          <w:rFonts w:ascii="Arial" w:eastAsia="Times New Roman" w:hAnsi="Arial" w:cs="Arial"/>
          <w:lang w:val="en-GB"/>
        </w:rPr>
        <w:t xml:space="preserve">Post-transplant treatment factors, such as the use of tacrolimus and steroids, along with older age and elevated body mass index, further contribute to the risk of developing post-transplant diabetes </w:t>
      </w:r>
      <w:r w:rsidR="00B043AC" w:rsidRPr="00D7373F">
        <w:rPr>
          <w:rFonts w:ascii="Arial" w:eastAsia="Times New Roman" w:hAnsi="Arial" w:cs="Arial"/>
          <w:lang w:val="en-GB"/>
        </w:rPr>
        <w:t>(36).</w:t>
      </w:r>
      <w:r w:rsidR="00444EF3">
        <w:rPr>
          <w:rFonts w:ascii="Arial" w:eastAsia="Times New Roman" w:hAnsi="Arial" w:cs="Arial"/>
          <w:lang w:val="en-GB"/>
        </w:rPr>
        <w:t xml:space="preserve"> </w:t>
      </w:r>
      <w:r w:rsidR="00A46A60" w:rsidRPr="00D7373F">
        <w:rPr>
          <w:rFonts w:ascii="Arial" w:eastAsia="Times New Roman" w:hAnsi="Arial" w:cs="Arial"/>
          <w:lang w:val="en-GB"/>
        </w:rPr>
        <w:t xml:space="preserve">In kidney transplant recipients, those </w:t>
      </w:r>
      <w:r w:rsidR="00AA79E1" w:rsidRPr="00D7373F">
        <w:rPr>
          <w:rFonts w:ascii="Arial" w:eastAsia="Times New Roman" w:hAnsi="Arial" w:cs="Arial"/>
          <w:lang w:val="en-GB"/>
        </w:rPr>
        <w:t xml:space="preserve">with vitamin D deficiency, have a 2.4 </w:t>
      </w:r>
      <w:r w:rsidR="00D67D74" w:rsidRPr="00D7373F">
        <w:rPr>
          <w:rFonts w:ascii="Arial" w:eastAsia="Times New Roman" w:hAnsi="Arial" w:cs="Arial"/>
          <w:lang w:val="en-GB"/>
        </w:rPr>
        <w:t>times h</w:t>
      </w:r>
      <w:r w:rsidR="00AA79E1" w:rsidRPr="00D7373F">
        <w:rPr>
          <w:rFonts w:ascii="Arial" w:eastAsia="Times New Roman" w:hAnsi="Arial" w:cs="Arial"/>
          <w:lang w:val="en-GB"/>
        </w:rPr>
        <w:t xml:space="preserve">igher risk </w:t>
      </w:r>
      <w:r w:rsidR="00D67D74" w:rsidRPr="00D7373F">
        <w:rPr>
          <w:rFonts w:ascii="Arial" w:eastAsia="Times New Roman" w:hAnsi="Arial" w:cs="Arial"/>
          <w:lang w:val="en-GB"/>
        </w:rPr>
        <w:t xml:space="preserve">of developing </w:t>
      </w:r>
      <w:r w:rsidR="00AA79E1" w:rsidRPr="00D7373F">
        <w:rPr>
          <w:rFonts w:ascii="Arial" w:eastAsia="Times New Roman" w:hAnsi="Arial" w:cs="Arial"/>
          <w:lang w:val="en-GB"/>
        </w:rPr>
        <w:t xml:space="preserve">post-transplant </w:t>
      </w:r>
      <w:r w:rsidR="00CE06A2" w:rsidRPr="00D7373F">
        <w:rPr>
          <w:rFonts w:ascii="Arial" w:eastAsia="Times New Roman" w:hAnsi="Arial" w:cs="Arial"/>
          <w:lang w:val="en-GB"/>
        </w:rPr>
        <w:t xml:space="preserve">diabetes </w:t>
      </w:r>
      <w:r w:rsidR="00AA79E1" w:rsidRPr="00D7373F">
        <w:rPr>
          <w:rFonts w:ascii="Arial" w:eastAsia="Times New Roman" w:hAnsi="Arial" w:cs="Arial"/>
          <w:lang w:val="en-GB"/>
        </w:rPr>
        <w:t>compared with those with normal serum 25OHD</w:t>
      </w:r>
      <w:r w:rsidR="00801CE5" w:rsidRPr="00D7373F">
        <w:rPr>
          <w:rFonts w:ascii="Arial" w:eastAsia="Times New Roman" w:hAnsi="Arial" w:cs="Arial"/>
          <w:lang w:val="en-GB"/>
        </w:rPr>
        <w:t xml:space="preserve"> </w:t>
      </w:r>
      <w:r w:rsidR="00AA79E1" w:rsidRPr="00D7373F">
        <w:rPr>
          <w:rFonts w:ascii="Arial" w:eastAsia="Times New Roman" w:hAnsi="Arial" w:cs="Arial"/>
          <w:lang w:val="en-GB"/>
        </w:rPr>
        <w:t xml:space="preserve">(&gt;30 ng/ml). </w:t>
      </w:r>
      <w:r w:rsidR="0074609C" w:rsidRPr="00D7373F">
        <w:rPr>
          <w:rFonts w:ascii="Arial" w:eastAsia="Times New Roman" w:hAnsi="Arial" w:cs="Arial"/>
          <w:lang w:val="en-GB"/>
        </w:rPr>
        <w:t>Cross-sectional studies report osteoporosis</w:t>
      </w:r>
      <w:r w:rsidR="00D67D74" w:rsidRPr="00D7373F">
        <w:rPr>
          <w:rFonts w:ascii="Arial" w:eastAsia="Times New Roman" w:hAnsi="Arial" w:cs="Arial"/>
          <w:lang w:val="en-GB"/>
        </w:rPr>
        <w:t xml:space="preserve"> prevalence rates ranging from </w:t>
      </w:r>
      <w:r w:rsidR="0074609C" w:rsidRPr="00D7373F">
        <w:rPr>
          <w:rFonts w:ascii="Arial" w:eastAsia="Times New Roman" w:hAnsi="Arial" w:cs="Arial"/>
          <w:lang w:val="en-GB"/>
        </w:rPr>
        <w:t xml:space="preserve">17% to 29% at the spine, 11% to 56% at the femoral neck, and 22% to </w:t>
      </w:r>
      <w:r w:rsidR="0074609C" w:rsidRPr="00D7373F">
        <w:rPr>
          <w:rFonts w:ascii="Arial" w:eastAsia="Times New Roman" w:hAnsi="Arial" w:cs="Arial"/>
          <w:lang w:val="en-GB"/>
        </w:rPr>
        <w:lastRenderedPageBreak/>
        <w:t>52% at the radius (</w:t>
      </w:r>
      <w:r w:rsidR="001947F0" w:rsidRPr="00D7373F">
        <w:rPr>
          <w:rFonts w:ascii="Arial" w:eastAsia="Times New Roman" w:hAnsi="Arial" w:cs="Arial"/>
          <w:lang w:val="en-GB"/>
        </w:rPr>
        <w:t>11</w:t>
      </w:r>
      <w:r w:rsidR="0074609C" w:rsidRPr="00D7373F">
        <w:rPr>
          <w:rFonts w:ascii="Arial" w:eastAsia="Times New Roman" w:hAnsi="Arial" w:cs="Arial"/>
          <w:lang w:val="en-GB"/>
        </w:rPr>
        <w:t xml:space="preserve">).  </w:t>
      </w:r>
      <w:r w:rsidR="00E82ED6" w:rsidRPr="00D7373F">
        <w:rPr>
          <w:rFonts w:ascii="Arial" w:eastAsia="Times New Roman" w:hAnsi="Arial" w:cs="Arial"/>
          <w:lang w:val="en-GB"/>
        </w:rPr>
        <w:t xml:space="preserve">Although </w:t>
      </w:r>
      <w:r w:rsidR="00D67D74" w:rsidRPr="005F2054">
        <w:rPr>
          <w:rFonts w:ascii="Arial" w:eastAsia="Times New Roman" w:hAnsi="Arial" w:cs="Arial"/>
          <w:color w:val="141413"/>
          <w:lang w:val="en-GB"/>
        </w:rPr>
        <w:t xml:space="preserve">most fractures </w:t>
      </w:r>
      <w:r w:rsidR="00E82ED6" w:rsidRPr="005F2054">
        <w:rPr>
          <w:rFonts w:ascii="Arial" w:eastAsia="Times New Roman" w:hAnsi="Arial" w:cs="Arial"/>
          <w:color w:val="141413"/>
          <w:lang w:val="en-GB"/>
        </w:rPr>
        <w:t xml:space="preserve">occur </w:t>
      </w:r>
      <w:r w:rsidR="00D67D74" w:rsidRPr="005F2054">
        <w:rPr>
          <w:rFonts w:ascii="Arial" w:eastAsia="Times New Roman" w:hAnsi="Arial" w:cs="Arial"/>
          <w:color w:val="141413"/>
          <w:lang w:val="en-GB"/>
        </w:rPr>
        <w:t>within t</w:t>
      </w:r>
      <w:r w:rsidR="00E82ED6" w:rsidRPr="005F2054">
        <w:rPr>
          <w:rFonts w:ascii="Arial" w:eastAsia="Times New Roman" w:hAnsi="Arial" w:cs="Arial"/>
          <w:color w:val="141413"/>
          <w:lang w:val="en-GB"/>
        </w:rPr>
        <w:t xml:space="preserve">he first </w:t>
      </w:r>
      <w:r w:rsidR="00D67D74" w:rsidRPr="005F2054">
        <w:rPr>
          <w:rFonts w:ascii="Arial" w:eastAsia="Times New Roman" w:hAnsi="Arial" w:cs="Arial"/>
          <w:color w:val="141413"/>
          <w:lang w:val="en-GB"/>
        </w:rPr>
        <w:t xml:space="preserve">three </w:t>
      </w:r>
      <w:r w:rsidR="00E82ED6" w:rsidRPr="005F2054">
        <w:rPr>
          <w:rFonts w:ascii="Arial" w:eastAsia="Times New Roman" w:hAnsi="Arial" w:cs="Arial"/>
          <w:color w:val="141413"/>
          <w:lang w:val="en-GB"/>
        </w:rPr>
        <w:t>years</w:t>
      </w:r>
      <w:r w:rsidR="00D67D74" w:rsidRPr="005F2054">
        <w:rPr>
          <w:rFonts w:ascii="Arial" w:eastAsia="Times New Roman" w:hAnsi="Arial" w:cs="Arial"/>
          <w:color w:val="141413"/>
          <w:lang w:val="en-GB"/>
        </w:rPr>
        <w:t xml:space="preserve"> post-transplant, the risk continues to increase over time </w:t>
      </w:r>
      <w:r w:rsidR="00E82ED6" w:rsidRPr="005F2054">
        <w:rPr>
          <w:rFonts w:ascii="Arial" w:eastAsia="Times New Roman" w:hAnsi="Arial" w:cs="Arial"/>
          <w:color w:val="141413"/>
          <w:lang w:val="en-GB"/>
        </w:rPr>
        <w:t xml:space="preserve">in some patients.  </w:t>
      </w:r>
    </w:p>
    <w:p w14:paraId="60771119" w14:textId="77777777" w:rsidR="0096777E" w:rsidRPr="005F2054" w:rsidRDefault="0096777E" w:rsidP="005F2054">
      <w:pPr>
        <w:spacing w:after="0"/>
        <w:contextualSpacing/>
        <w:rPr>
          <w:rFonts w:ascii="Arial" w:eastAsia="Times New Roman" w:hAnsi="Arial" w:cs="Arial"/>
          <w:color w:val="FF0000"/>
          <w:lang w:val="en-GB"/>
        </w:rPr>
      </w:pPr>
    </w:p>
    <w:p w14:paraId="05274367" w14:textId="3D50BE11" w:rsidR="00E665B9" w:rsidRDefault="00E665B9" w:rsidP="005F2054">
      <w:pPr>
        <w:spacing w:after="0"/>
        <w:contextualSpacing/>
        <w:rPr>
          <w:rFonts w:ascii="Arial" w:eastAsia="Times New Roman" w:hAnsi="Arial" w:cs="Arial"/>
          <w:b/>
          <w:color w:val="4F6228" w:themeColor="accent3" w:themeShade="80"/>
          <w:lang w:val="en-GB"/>
        </w:rPr>
      </w:pPr>
      <w:r w:rsidRPr="005F2054">
        <w:rPr>
          <w:rFonts w:ascii="Arial" w:eastAsia="Times New Roman" w:hAnsi="Arial" w:cs="Arial"/>
          <w:b/>
          <w:color w:val="4F6228" w:themeColor="accent3" w:themeShade="80"/>
          <w:lang w:val="en-GB"/>
        </w:rPr>
        <w:t>L</w:t>
      </w:r>
      <w:r w:rsidR="0096777E">
        <w:rPr>
          <w:rFonts w:ascii="Arial" w:eastAsia="Times New Roman" w:hAnsi="Arial" w:cs="Arial"/>
          <w:b/>
          <w:color w:val="4F6228" w:themeColor="accent3" w:themeShade="80"/>
          <w:lang w:val="en-GB"/>
        </w:rPr>
        <w:t xml:space="preserve">iver Disease </w:t>
      </w:r>
    </w:p>
    <w:p w14:paraId="3D6E905D" w14:textId="77777777" w:rsidR="0096777E" w:rsidRPr="005F2054" w:rsidRDefault="0096777E" w:rsidP="005F2054">
      <w:pPr>
        <w:spacing w:after="0"/>
        <w:contextualSpacing/>
        <w:rPr>
          <w:rFonts w:ascii="Arial" w:eastAsia="Times New Roman" w:hAnsi="Arial" w:cs="Arial"/>
          <w:b/>
          <w:color w:val="4F6228" w:themeColor="accent3" w:themeShade="80"/>
          <w:lang w:val="en-GB"/>
        </w:rPr>
      </w:pPr>
    </w:p>
    <w:p w14:paraId="0C2B2D4A" w14:textId="1D329BDD" w:rsidR="00BC05DA" w:rsidRDefault="00BC05DA"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 xml:space="preserve">After liver transplantation, bone density </w:t>
      </w:r>
      <w:r w:rsidR="0064689A" w:rsidRPr="005F2054">
        <w:rPr>
          <w:rFonts w:ascii="Arial" w:eastAsia="Times New Roman" w:hAnsi="Arial" w:cs="Arial"/>
          <w:color w:val="141413"/>
          <w:lang w:val="en-GB"/>
        </w:rPr>
        <w:t xml:space="preserve">declines rapidly within </w:t>
      </w:r>
      <w:r w:rsidRPr="005F2054">
        <w:rPr>
          <w:rFonts w:ascii="Arial" w:eastAsia="Times New Roman" w:hAnsi="Arial" w:cs="Arial"/>
          <w:color w:val="141413"/>
          <w:lang w:val="en-GB"/>
        </w:rPr>
        <w:t xml:space="preserve">the first six months, </w:t>
      </w:r>
      <w:r w:rsidR="0064689A" w:rsidRPr="005F2054">
        <w:rPr>
          <w:rFonts w:ascii="Arial" w:eastAsia="Times New Roman" w:hAnsi="Arial" w:cs="Arial"/>
          <w:color w:val="141413"/>
          <w:lang w:val="en-GB"/>
        </w:rPr>
        <w:t xml:space="preserve">followed by a gradual increase in the subsequent months, with a tendency toward recovery within two years. However, not all patients regain normal BMD levels. </w:t>
      </w:r>
      <w:r w:rsidRPr="005F2054">
        <w:rPr>
          <w:rFonts w:ascii="Arial" w:eastAsia="Times New Roman" w:hAnsi="Arial" w:cs="Arial"/>
          <w:color w:val="141413"/>
          <w:lang w:val="en-GB"/>
        </w:rPr>
        <w:t>Fracture incidence is high</w:t>
      </w:r>
      <w:r w:rsidR="0064689A" w:rsidRPr="005F2054">
        <w:rPr>
          <w:rFonts w:ascii="Arial" w:eastAsia="Times New Roman" w:hAnsi="Arial" w:cs="Arial"/>
          <w:color w:val="141413"/>
          <w:lang w:val="en-GB"/>
        </w:rPr>
        <w:t xml:space="preserve">est during </w:t>
      </w:r>
      <w:r w:rsidRPr="005F2054">
        <w:rPr>
          <w:rFonts w:ascii="Arial" w:eastAsia="Times New Roman" w:hAnsi="Arial" w:cs="Arial"/>
          <w:color w:val="141413"/>
          <w:lang w:val="en-GB"/>
        </w:rPr>
        <w:t>the first six months</w:t>
      </w:r>
      <w:r w:rsidR="0064689A" w:rsidRPr="005F2054">
        <w:rPr>
          <w:rFonts w:ascii="Arial" w:eastAsia="Times New Roman" w:hAnsi="Arial" w:cs="Arial"/>
          <w:color w:val="141413"/>
          <w:lang w:val="en-GB"/>
        </w:rPr>
        <w:t xml:space="preserve"> post-transplant, particularly in </w:t>
      </w:r>
      <w:r w:rsidRPr="005F2054">
        <w:rPr>
          <w:rFonts w:ascii="Arial" w:eastAsia="Times New Roman" w:hAnsi="Arial" w:cs="Arial"/>
          <w:color w:val="141413"/>
          <w:lang w:val="en-GB"/>
        </w:rPr>
        <w:t xml:space="preserve">patients with primary biliary cirrhosis. While lumbar BMD </w:t>
      </w:r>
      <w:r w:rsidR="0064689A" w:rsidRPr="005F2054">
        <w:rPr>
          <w:rFonts w:ascii="Arial" w:eastAsia="Times New Roman" w:hAnsi="Arial" w:cs="Arial"/>
          <w:color w:val="141413"/>
          <w:lang w:val="en-GB"/>
        </w:rPr>
        <w:t xml:space="preserve">tends to improve over time, hip BMD often remains lower for an extended </w:t>
      </w:r>
      <w:r w:rsidR="0064689A" w:rsidRPr="0096777E">
        <w:rPr>
          <w:rFonts w:ascii="Arial" w:eastAsia="Times New Roman" w:hAnsi="Arial" w:cs="Arial"/>
          <w:lang w:val="en-GB"/>
        </w:rPr>
        <w:t xml:space="preserve">period after </w:t>
      </w:r>
      <w:r w:rsidR="00E87181" w:rsidRPr="0096777E">
        <w:rPr>
          <w:rFonts w:ascii="Arial" w:eastAsia="Times New Roman" w:hAnsi="Arial" w:cs="Arial"/>
          <w:lang w:val="en-GB"/>
        </w:rPr>
        <w:t>transplantation (</w:t>
      </w:r>
      <w:r w:rsidRPr="0096777E">
        <w:rPr>
          <w:rFonts w:ascii="Arial" w:eastAsia="Times New Roman" w:hAnsi="Arial" w:cs="Arial"/>
          <w:lang w:val="en-GB"/>
        </w:rPr>
        <w:t>39).</w:t>
      </w:r>
    </w:p>
    <w:p w14:paraId="27D0E43E" w14:textId="77777777" w:rsidR="0096777E" w:rsidRPr="0096777E" w:rsidRDefault="0096777E" w:rsidP="005F2054">
      <w:pPr>
        <w:spacing w:after="0"/>
        <w:contextualSpacing/>
        <w:rPr>
          <w:rFonts w:ascii="Arial" w:eastAsia="Times New Roman" w:hAnsi="Arial" w:cs="Arial"/>
          <w:lang w:val="en-GB"/>
        </w:rPr>
      </w:pPr>
    </w:p>
    <w:p w14:paraId="2A4325AD" w14:textId="47D2FDD8" w:rsidR="00173ECC" w:rsidRPr="005F2054" w:rsidRDefault="00BC6907" w:rsidP="008B45A8">
      <w:pPr>
        <w:spacing w:after="0"/>
        <w:contextualSpacing/>
        <w:rPr>
          <w:rFonts w:ascii="Arial" w:eastAsia="Times New Roman" w:hAnsi="Arial" w:cs="Arial"/>
          <w:color w:val="141413"/>
          <w:lang w:val="en-GB"/>
        </w:rPr>
      </w:pPr>
      <w:r w:rsidRPr="0096777E">
        <w:rPr>
          <w:rFonts w:ascii="Arial" w:eastAsia="Times New Roman" w:hAnsi="Arial" w:cs="Arial"/>
          <w:lang w:val="en-GB"/>
        </w:rPr>
        <w:t xml:space="preserve">Previous studies </w:t>
      </w:r>
      <w:r w:rsidR="006E3D4A" w:rsidRPr="0096777E">
        <w:rPr>
          <w:rFonts w:ascii="Arial" w:eastAsia="Times New Roman" w:hAnsi="Arial" w:cs="Arial"/>
          <w:lang w:val="en-GB"/>
        </w:rPr>
        <w:t xml:space="preserve">have </w:t>
      </w:r>
      <w:r w:rsidRPr="0096777E">
        <w:rPr>
          <w:rFonts w:ascii="Arial" w:eastAsia="Times New Roman" w:hAnsi="Arial" w:cs="Arial"/>
          <w:lang w:val="en-GB"/>
        </w:rPr>
        <w:t>reported a</w:t>
      </w:r>
      <w:r w:rsidR="006E3D4A" w:rsidRPr="0096777E">
        <w:rPr>
          <w:rFonts w:ascii="Arial" w:eastAsia="Times New Roman" w:hAnsi="Arial" w:cs="Arial"/>
          <w:lang w:val="en-GB"/>
        </w:rPr>
        <w:t xml:space="preserve">n osteoporosis </w:t>
      </w:r>
      <w:r w:rsidRPr="0096777E">
        <w:rPr>
          <w:rFonts w:ascii="Arial" w:eastAsia="Times New Roman" w:hAnsi="Arial" w:cs="Arial"/>
          <w:lang w:val="en-GB"/>
        </w:rPr>
        <w:t>prevalence of</w:t>
      </w:r>
      <w:r w:rsidR="006E3D4A" w:rsidRPr="0096777E">
        <w:rPr>
          <w:rFonts w:ascii="Arial" w:eastAsia="Times New Roman" w:hAnsi="Arial" w:cs="Arial"/>
          <w:lang w:val="en-GB"/>
        </w:rPr>
        <w:t xml:space="preserve"> 4</w:t>
      </w:r>
      <w:r w:rsidRPr="0096777E">
        <w:rPr>
          <w:rFonts w:ascii="Arial" w:eastAsia="Times New Roman" w:hAnsi="Arial" w:cs="Arial"/>
          <w:lang w:val="en-GB"/>
        </w:rPr>
        <w:t>0.8% in</w:t>
      </w:r>
      <w:r w:rsidR="006B2CB7" w:rsidRPr="0096777E">
        <w:rPr>
          <w:rFonts w:ascii="Arial" w:eastAsia="Times New Roman" w:hAnsi="Arial" w:cs="Arial"/>
          <w:lang w:val="en-GB"/>
        </w:rPr>
        <w:t xml:space="preserve"> </w:t>
      </w:r>
      <w:r w:rsidR="00E87181" w:rsidRPr="0096777E">
        <w:rPr>
          <w:rFonts w:ascii="Arial" w:eastAsia="Times New Roman" w:hAnsi="Arial" w:cs="Arial"/>
          <w:lang w:val="en-GB"/>
        </w:rPr>
        <w:t>82 liver</w:t>
      </w:r>
      <w:r w:rsidRPr="0096777E">
        <w:rPr>
          <w:rFonts w:ascii="Arial" w:eastAsia="Times New Roman" w:hAnsi="Arial" w:cs="Arial"/>
          <w:lang w:val="en-GB"/>
        </w:rPr>
        <w:t xml:space="preserve"> </w:t>
      </w:r>
      <w:r w:rsidR="00E87181" w:rsidRPr="0096777E">
        <w:rPr>
          <w:rFonts w:ascii="Arial" w:eastAsia="Times New Roman" w:hAnsi="Arial" w:cs="Arial"/>
          <w:lang w:val="en-GB"/>
        </w:rPr>
        <w:t>transplant</w:t>
      </w:r>
      <w:r w:rsidRPr="0096777E">
        <w:rPr>
          <w:rFonts w:ascii="Arial" w:eastAsia="Times New Roman" w:hAnsi="Arial" w:cs="Arial"/>
          <w:lang w:val="en-GB"/>
        </w:rPr>
        <w:t xml:space="preserve"> </w:t>
      </w:r>
      <w:r w:rsidR="006E3D4A" w:rsidRPr="0096777E">
        <w:rPr>
          <w:rFonts w:ascii="Arial" w:eastAsia="Times New Roman" w:hAnsi="Arial" w:cs="Arial"/>
          <w:lang w:val="en-GB"/>
        </w:rPr>
        <w:t xml:space="preserve">recipients with various </w:t>
      </w:r>
      <w:proofErr w:type="spellStart"/>
      <w:r w:rsidR="006E3D4A" w:rsidRPr="0096777E">
        <w:rPr>
          <w:rFonts w:ascii="Arial" w:eastAsia="Times New Roman" w:hAnsi="Arial" w:cs="Arial"/>
          <w:lang w:val="en-GB"/>
        </w:rPr>
        <w:t>etiologies</w:t>
      </w:r>
      <w:proofErr w:type="spellEnd"/>
      <w:r w:rsidR="006E3D4A" w:rsidRPr="0096777E">
        <w:rPr>
          <w:rFonts w:ascii="Arial" w:eastAsia="Times New Roman" w:hAnsi="Arial" w:cs="Arial"/>
          <w:lang w:val="en-GB"/>
        </w:rPr>
        <w:t xml:space="preserve"> who were </w:t>
      </w:r>
      <w:r w:rsidR="006B2CB7" w:rsidRPr="0096777E">
        <w:rPr>
          <w:rFonts w:ascii="Arial" w:eastAsia="Times New Roman" w:hAnsi="Arial" w:cs="Arial"/>
          <w:lang w:val="en-GB"/>
        </w:rPr>
        <w:t xml:space="preserve">followed for one year </w:t>
      </w:r>
      <w:r w:rsidRPr="0096777E">
        <w:rPr>
          <w:rFonts w:ascii="Arial" w:eastAsia="Times New Roman" w:hAnsi="Arial" w:cs="Arial"/>
          <w:lang w:val="en-GB"/>
        </w:rPr>
        <w:t>(</w:t>
      </w:r>
      <w:r w:rsidR="00795051" w:rsidRPr="0096777E">
        <w:rPr>
          <w:rFonts w:ascii="Arial" w:eastAsia="Times New Roman" w:hAnsi="Arial" w:cs="Arial"/>
          <w:lang w:val="en-GB"/>
        </w:rPr>
        <w:t>38</w:t>
      </w:r>
      <w:r w:rsidRPr="0096777E">
        <w:rPr>
          <w:rFonts w:ascii="Arial" w:eastAsia="Times New Roman" w:hAnsi="Arial" w:cs="Arial"/>
          <w:lang w:val="en-GB"/>
        </w:rPr>
        <w:t xml:space="preserve">). </w:t>
      </w:r>
      <w:r w:rsidR="006B2CB7" w:rsidRPr="0096777E">
        <w:rPr>
          <w:rFonts w:ascii="Arial" w:eastAsia="Times New Roman" w:hAnsi="Arial" w:cs="Arial"/>
          <w:lang w:val="en-GB"/>
        </w:rPr>
        <w:t>Similarly</w:t>
      </w:r>
      <w:r w:rsidR="007C102F" w:rsidRPr="0096777E">
        <w:rPr>
          <w:rFonts w:ascii="Arial" w:eastAsia="Times New Roman" w:hAnsi="Arial" w:cs="Arial"/>
          <w:lang w:val="en-GB"/>
        </w:rPr>
        <w:t>,</w:t>
      </w:r>
      <w:r w:rsidR="006B2CB7" w:rsidRPr="0096777E">
        <w:rPr>
          <w:rFonts w:ascii="Arial" w:eastAsia="Times New Roman" w:hAnsi="Arial" w:cs="Arial"/>
          <w:lang w:val="en-GB"/>
        </w:rPr>
        <w:t xml:space="preserve"> a more </w:t>
      </w:r>
      <w:r w:rsidRPr="0096777E">
        <w:rPr>
          <w:rFonts w:ascii="Arial" w:eastAsia="Times New Roman" w:hAnsi="Arial" w:cs="Arial"/>
          <w:lang w:val="en-GB"/>
        </w:rPr>
        <w:t xml:space="preserve">recent study </w:t>
      </w:r>
      <w:r w:rsidR="00E87181" w:rsidRPr="0096777E">
        <w:rPr>
          <w:rFonts w:ascii="Arial" w:eastAsia="Times New Roman" w:hAnsi="Arial" w:cs="Arial"/>
          <w:lang w:val="en-GB"/>
        </w:rPr>
        <w:t>found a prevalence of 34.5</w:t>
      </w:r>
      <w:r w:rsidRPr="0096777E">
        <w:rPr>
          <w:rFonts w:ascii="Arial" w:eastAsia="Times New Roman" w:hAnsi="Arial" w:cs="Arial"/>
          <w:lang w:val="en-GB"/>
        </w:rPr>
        <w:t>%</w:t>
      </w:r>
      <w:r w:rsidR="00DA080E" w:rsidRPr="0096777E">
        <w:rPr>
          <w:rFonts w:ascii="Arial" w:eastAsia="Times New Roman" w:hAnsi="Arial" w:cs="Arial"/>
          <w:lang w:val="en-GB"/>
        </w:rPr>
        <w:t xml:space="preserve"> </w:t>
      </w:r>
      <w:r w:rsidRPr="0096777E">
        <w:rPr>
          <w:rFonts w:ascii="Arial" w:eastAsia="Times New Roman" w:hAnsi="Arial" w:cs="Arial"/>
          <w:lang w:val="en-GB"/>
        </w:rPr>
        <w:t xml:space="preserve">in 83 patients </w:t>
      </w:r>
      <w:r w:rsidR="00E87181" w:rsidRPr="0096777E">
        <w:rPr>
          <w:rFonts w:ascii="Arial" w:eastAsia="Times New Roman" w:hAnsi="Arial" w:cs="Arial"/>
          <w:lang w:val="en-GB"/>
        </w:rPr>
        <w:t xml:space="preserve">who were followed for an average of </w:t>
      </w:r>
      <w:r w:rsidRPr="0096777E">
        <w:rPr>
          <w:rFonts w:ascii="Arial" w:eastAsia="Times New Roman" w:hAnsi="Arial" w:cs="Arial"/>
          <w:lang w:val="en-GB"/>
        </w:rPr>
        <w:t>80 months (</w:t>
      </w:r>
      <w:r w:rsidR="00795051" w:rsidRPr="0096777E">
        <w:rPr>
          <w:rFonts w:ascii="Arial" w:eastAsia="Times New Roman" w:hAnsi="Arial" w:cs="Arial"/>
          <w:lang w:val="en-GB"/>
        </w:rPr>
        <w:t>39</w:t>
      </w:r>
      <w:r w:rsidRPr="0096777E">
        <w:rPr>
          <w:rFonts w:ascii="Arial" w:eastAsia="Times New Roman" w:hAnsi="Arial" w:cs="Arial"/>
          <w:lang w:val="en-GB"/>
        </w:rPr>
        <w:t xml:space="preserve">). </w:t>
      </w:r>
      <w:r w:rsidR="00497026" w:rsidRPr="0096777E">
        <w:rPr>
          <w:rFonts w:ascii="Arial" w:eastAsia="Times New Roman" w:hAnsi="Arial" w:cs="Arial"/>
          <w:lang w:val="en-GB"/>
        </w:rPr>
        <w:t xml:space="preserve">After the first year, </w:t>
      </w:r>
      <w:r w:rsidR="00DA080E" w:rsidRPr="0096777E">
        <w:rPr>
          <w:rFonts w:ascii="Arial" w:eastAsia="Times New Roman" w:hAnsi="Arial" w:cs="Arial"/>
          <w:lang w:val="en-GB"/>
        </w:rPr>
        <w:t xml:space="preserve">bone loss tends to slow, likely due to reduced use of glucocorticoids and immunosuppressants </w:t>
      </w:r>
      <w:r w:rsidR="002D713A" w:rsidRPr="0096777E">
        <w:rPr>
          <w:rFonts w:ascii="Arial" w:eastAsia="Times New Roman" w:hAnsi="Arial" w:cs="Arial"/>
          <w:lang w:val="en-GB"/>
        </w:rPr>
        <w:t>(</w:t>
      </w:r>
      <w:r w:rsidR="0036644C" w:rsidRPr="0096777E">
        <w:rPr>
          <w:rFonts w:ascii="Arial" w:eastAsia="Times New Roman" w:hAnsi="Arial" w:cs="Arial"/>
          <w:lang w:val="en-GB"/>
        </w:rPr>
        <w:t>40</w:t>
      </w:r>
      <w:r w:rsidR="002D713A" w:rsidRPr="0096777E">
        <w:rPr>
          <w:rFonts w:ascii="Arial" w:eastAsia="Times New Roman" w:hAnsi="Arial" w:cs="Arial"/>
          <w:lang w:val="en-GB"/>
        </w:rPr>
        <w:t>).</w:t>
      </w:r>
      <w:r w:rsidR="00FA1702" w:rsidRPr="0096777E">
        <w:rPr>
          <w:rFonts w:ascii="Arial" w:eastAsia="Times New Roman" w:hAnsi="Arial" w:cs="Arial"/>
          <w:lang w:val="en-GB"/>
        </w:rPr>
        <w:t xml:space="preserve"> </w:t>
      </w:r>
      <w:r w:rsidR="00DA080E" w:rsidRPr="0096777E">
        <w:rPr>
          <w:rFonts w:ascii="Arial" w:eastAsia="Times New Roman" w:hAnsi="Arial" w:cs="Arial"/>
          <w:lang w:val="en-GB"/>
        </w:rPr>
        <w:t xml:space="preserve">Additionally, </w:t>
      </w:r>
      <w:r w:rsidR="00FA1702" w:rsidRPr="0096777E">
        <w:rPr>
          <w:rFonts w:ascii="Arial" w:eastAsia="Times New Roman" w:hAnsi="Arial" w:cs="Arial"/>
          <w:lang w:val="en-GB"/>
        </w:rPr>
        <w:t xml:space="preserve">the </w:t>
      </w:r>
      <w:r w:rsidR="00141D6C" w:rsidRPr="0096777E">
        <w:rPr>
          <w:rFonts w:ascii="Arial" w:eastAsia="Times New Roman" w:hAnsi="Arial" w:cs="Arial"/>
          <w:lang w:val="en-GB"/>
        </w:rPr>
        <w:t xml:space="preserve">decrease in </w:t>
      </w:r>
      <w:proofErr w:type="spellStart"/>
      <w:r w:rsidR="00141D6C" w:rsidRPr="0096777E">
        <w:rPr>
          <w:rFonts w:ascii="Arial" w:eastAsia="Times New Roman" w:hAnsi="Arial" w:cs="Arial"/>
          <w:lang w:val="en-GB"/>
        </w:rPr>
        <w:t>bil</w:t>
      </w:r>
      <w:r w:rsidR="00A45FA2" w:rsidRPr="0096777E">
        <w:rPr>
          <w:rFonts w:ascii="Arial" w:eastAsia="Times New Roman" w:hAnsi="Arial" w:cs="Arial"/>
          <w:lang w:val="en-GB"/>
        </w:rPr>
        <w:t>irubinemia</w:t>
      </w:r>
      <w:proofErr w:type="spellEnd"/>
      <w:r w:rsidR="008B45A8">
        <w:rPr>
          <w:rFonts w:ascii="Arial" w:eastAsia="Times New Roman" w:hAnsi="Arial" w:cs="Arial"/>
          <w:lang w:val="en-GB"/>
        </w:rPr>
        <w:t>,</w:t>
      </w:r>
      <w:r w:rsidR="00215CDD">
        <w:rPr>
          <w:rFonts w:ascii="Arial" w:eastAsia="Times New Roman" w:hAnsi="Arial" w:cs="Arial"/>
          <w:lang w:val="en-GB"/>
        </w:rPr>
        <w:t xml:space="preserve"> </w:t>
      </w:r>
      <w:r w:rsidR="00141D6C" w:rsidRPr="0096777E">
        <w:rPr>
          <w:rFonts w:ascii="Arial" w:eastAsia="Times New Roman" w:hAnsi="Arial" w:cs="Arial"/>
          <w:lang w:val="en-GB"/>
        </w:rPr>
        <w:t>known to negatively affect osteoblast differentiation and mineralization</w:t>
      </w:r>
      <w:r w:rsidR="008B45A8">
        <w:rPr>
          <w:rFonts w:ascii="Arial" w:eastAsia="Times New Roman" w:hAnsi="Arial" w:cs="Arial"/>
          <w:lang w:val="en-GB"/>
        </w:rPr>
        <w:t>,</w:t>
      </w:r>
      <w:r w:rsidR="00141D6C" w:rsidRPr="0096777E">
        <w:rPr>
          <w:rFonts w:ascii="Arial" w:eastAsia="Times New Roman" w:hAnsi="Arial" w:cs="Arial"/>
          <w:lang w:val="en-GB"/>
        </w:rPr>
        <w:t xml:space="preserve"> may also play a role in this stabilization.  </w:t>
      </w:r>
      <w:r w:rsidR="00A45FA2" w:rsidRPr="0096777E">
        <w:rPr>
          <w:rFonts w:ascii="Arial" w:eastAsia="Times New Roman" w:hAnsi="Arial" w:cs="Arial"/>
          <w:lang w:val="en-GB"/>
        </w:rPr>
        <w:t>However, it</w:t>
      </w:r>
      <w:r w:rsidR="00173ECC" w:rsidRPr="0096777E">
        <w:rPr>
          <w:rFonts w:ascii="Arial" w:eastAsia="Times New Roman" w:hAnsi="Arial" w:cs="Arial"/>
          <w:lang w:val="en-GB"/>
        </w:rPr>
        <w:t xml:space="preserve"> is accepted that approximately one-third of liver transplant </w:t>
      </w:r>
      <w:r w:rsidR="00141D6C" w:rsidRPr="0096777E">
        <w:rPr>
          <w:rFonts w:ascii="Arial" w:eastAsia="Times New Roman" w:hAnsi="Arial" w:cs="Arial"/>
          <w:lang w:val="en-GB"/>
        </w:rPr>
        <w:t xml:space="preserve">recipients, still have lumbar spine BMD below the fracture threshold two years post-transplant, despite improvements in survival and quality of life </w:t>
      </w:r>
      <w:r w:rsidR="00173ECC" w:rsidRPr="0096777E">
        <w:rPr>
          <w:rFonts w:ascii="Arial" w:eastAsia="Times New Roman" w:hAnsi="Arial" w:cs="Arial"/>
          <w:lang w:val="en-GB"/>
        </w:rPr>
        <w:t>(</w:t>
      </w:r>
      <w:r w:rsidR="0036644C" w:rsidRPr="0096777E">
        <w:rPr>
          <w:rFonts w:ascii="Arial" w:eastAsia="Times New Roman" w:hAnsi="Arial" w:cs="Arial"/>
          <w:lang w:val="en-GB"/>
        </w:rPr>
        <w:t>41</w:t>
      </w:r>
      <w:r w:rsidR="00173ECC" w:rsidRPr="0096777E">
        <w:rPr>
          <w:rFonts w:ascii="Arial" w:eastAsia="Times New Roman" w:hAnsi="Arial" w:cs="Arial"/>
          <w:lang w:val="en-GB"/>
        </w:rPr>
        <w:t>).</w:t>
      </w:r>
      <w:r w:rsidR="00724795" w:rsidRPr="0096777E">
        <w:rPr>
          <w:rFonts w:ascii="Arial" w:eastAsia="Times New Roman" w:hAnsi="Arial" w:cs="Arial"/>
          <w:lang w:val="en-GB"/>
        </w:rPr>
        <w:t xml:space="preserve"> </w:t>
      </w:r>
      <w:r w:rsidR="00141D6C" w:rsidRPr="0096777E">
        <w:rPr>
          <w:rFonts w:ascii="Arial" w:eastAsia="Times New Roman" w:hAnsi="Arial" w:cs="Arial"/>
          <w:lang w:val="en-GB"/>
        </w:rPr>
        <w:t xml:space="preserve">Reported </w:t>
      </w:r>
      <w:r w:rsidR="00C659B0" w:rsidRPr="005F2054">
        <w:rPr>
          <w:rFonts w:ascii="Arial" w:eastAsia="Times New Roman" w:hAnsi="Arial" w:cs="Arial"/>
          <w:color w:val="141413"/>
          <w:lang w:val="en-GB"/>
        </w:rPr>
        <w:t xml:space="preserve">fracture rates after liver </w:t>
      </w:r>
      <w:r w:rsidR="00141D6C" w:rsidRPr="005F2054">
        <w:rPr>
          <w:rFonts w:ascii="Arial" w:eastAsia="Times New Roman" w:hAnsi="Arial" w:cs="Arial"/>
          <w:color w:val="141413"/>
          <w:lang w:val="en-GB"/>
        </w:rPr>
        <w:t xml:space="preserve">transplantation </w:t>
      </w:r>
      <w:r w:rsidR="00151980" w:rsidRPr="005F2054">
        <w:rPr>
          <w:rFonts w:ascii="Arial" w:eastAsia="Times New Roman" w:hAnsi="Arial" w:cs="Arial"/>
          <w:color w:val="141413"/>
          <w:lang w:val="en-GB"/>
        </w:rPr>
        <w:t xml:space="preserve">range from 24% to 65%. </w:t>
      </w:r>
    </w:p>
    <w:p w14:paraId="13F6064E" w14:textId="77777777" w:rsidR="0096777E" w:rsidRDefault="0096777E" w:rsidP="005F2054">
      <w:pPr>
        <w:spacing w:after="0"/>
        <w:contextualSpacing/>
        <w:rPr>
          <w:rFonts w:ascii="Arial" w:eastAsia="Times New Roman" w:hAnsi="Arial" w:cs="Arial"/>
          <w:b/>
          <w:color w:val="4F6228" w:themeColor="accent3" w:themeShade="80"/>
          <w:lang w:val="en-GB"/>
        </w:rPr>
      </w:pPr>
    </w:p>
    <w:p w14:paraId="6D093596" w14:textId="09DD8FDE" w:rsidR="002010A7" w:rsidRPr="005F2054" w:rsidRDefault="00E665B9" w:rsidP="005F2054">
      <w:pPr>
        <w:spacing w:after="0"/>
        <w:contextualSpacing/>
        <w:rPr>
          <w:rFonts w:ascii="Arial" w:eastAsia="Times New Roman" w:hAnsi="Arial" w:cs="Arial"/>
          <w:b/>
          <w:color w:val="4F6228" w:themeColor="accent3" w:themeShade="80"/>
          <w:lang w:val="en-GB"/>
        </w:rPr>
      </w:pPr>
      <w:r w:rsidRPr="005F2054">
        <w:rPr>
          <w:rFonts w:ascii="Arial" w:eastAsia="Times New Roman" w:hAnsi="Arial" w:cs="Arial"/>
          <w:b/>
          <w:color w:val="4F6228" w:themeColor="accent3" w:themeShade="80"/>
          <w:lang w:val="en-GB"/>
        </w:rPr>
        <w:t>C</w:t>
      </w:r>
      <w:r w:rsidR="0096777E">
        <w:rPr>
          <w:rFonts w:ascii="Arial" w:eastAsia="Times New Roman" w:hAnsi="Arial" w:cs="Arial"/>
          <w:b/>
          <w:color w:val="4F6228" w:themeColor="accent3" w:themeShade="80"/>
          <w:lang w:val="en-GB"/>
        </w:rPr>
        <w:t xml:space="preserve">ardiac Disease </w:t>
      </w:r>
    </w:p>
    <w:p w14:paraId="5AE263C4" w14:textId="77777777" w:rsidR="0096777E" w:rsidRDefault="0096777E" w:rsidP="005F2054">
      <w:pPr>
        <w:spacing w:after="0"/>
        <w:contextualSpacing/>
        <w:rPr>
          <w:rFonts w:ascii="Arial" w:eastAsia="Times New Roman" w:hAnsi="Arial" w:cs="Arial"/>
          <w:color w:val="141413"/>
          <w:lang w:val="en-GB"/>
        </w:rPr>
      </w:pPr>
    </w:p>
    <w:p w14:paraId="2CCAA146" w14:textId="0F8CFE91" w:rsidR="00747096" w:rsidRDefault="00747096" w:rsidP="005F2054">
      <w:pPr>
        <w:spacing w:after="0"/>
        <w:contextualSpacing/>
        <w:rPr>
          <w:rFonts w:ascii="Arial" w:eastAsia="Times New Roman" w:hAnsi="Arial" w:cs="Arial"/>
          <w:color w:val="141413"/>
          <w:lang w:val="en-GB"/>
        </w:rPr>
      </w:pPr>
      <w:r w:rsidRPr="005F2054">
        <w:rPr>
          <w:rFonts w:ascii="Arial" w:eastAsia="Times New Roman" w:hAnsi="Arial" w:cs="Arial"/>
          <w:color w:val="141413"/>
          <w:lang w:val="en-GB"/>
        </w:rPr>
        <w:t>Bone loss</w:t>
      </w:r>
      <w:r w:rsidR="003B7BA0" w:rsidRPr="005F2054">
        <w:rPr>
          <w:rFonts w:ascii="Arial" w:eastAsia="Times New Roman" w:hAnsi="Arial" w:cs="Arial"/>
          <w:color w:val="141413"/>
          <w:lang w:val="en-GB"/>
        </w:rPr>
        <w:t xml:space="preserve"> progresses rapidly after transplantation in </w:t>
      </w:r>
      <w:r w:rsidRPr="005F2054">
        <w:rPr>
          <w:rFonts w:ascii="Arial" w:eastAsia="Times New Roman" w:hAnsi="Arial" w:cs="Arial"/>
          <w:color w:val="141413"/>
          <w:lang w:val="en-GB"/>
        </w:rPr>
        <w:t xml:space="preserve">these patients, </w:t>
      </w:r>
      <w:r w:rsidR="003B7BA0" w:rsidRPr="005F2054">
        <w:rPr>
          <w:rFonts w:ascii="Arial" w:eastAsia="Times New Roman" w:hAnsi="Arial" w:cs="Arial"/>
          <w:color w:val="141413"/>
          <w:lang w:val="en-GB"/>
        </w:rPr>
        <w:t xml:space="preserve">with an </w:t>
      </w:r>
      <w:r w:rsidRPr="005F2054">
        <w:rPr>
          <w:rFonts w:ascii="Arial" w:eastAsia="Times New Roman" w:hAnsi="Arial" w:cs="Arial"/>
          <w:color w:val="141413"/>
          <w:lang w:val="en-GB"/>
        </w:rPr>
        <w:t xml:space="preserve">estimated </w:t>
      </w:r>
      <w:r w:rsidR="003B7BA0" w:rsidRPr="005F2054">
        <w:rPr>
          <w:rFonts w:ascii="Arial" w:eastAsia="Times New Roman" w:hAnsi="Arial" w:cs="Arial"/>
          <w:color w:val="141413"/>
          <w:lang w:val="en-GB"/>
        </w:rPr>
        <w:t xml:space="preserve">decline of </w:t>
      </w:r>
      <w:r w:rsidRPr="005F2054">
        <w:rPr>
          <w:rFonts w:ascii="Arial" w:eastAsia="Times New Roman" w:hAnsi="Arial" w:cs="Arial"/>
          <w:color w:val="141413"/>
          <w:lang w:val="en-GB"/>
        </w:rPr>
        <w:t xml:space="preserve">6%-11% at the vertebral site </w:t>
      </w:r>
      <w:r w:rsidR="000C46FA" w:rsidRPr="005F2054">
        <w:rPr>
          <w:rFonts w:ascii="Arial" w:eastAsia="Times New Roman" w:hAnsi="Arial" w:cs="Arial"/>
          <w:color w:val="141413"/>
          <w:lang w:val="en-GB"/>
        </w:rPr>
        <w:t xml:space="preserve">within the first </w:t>
      </w:r>
      <w:r w:rsidRPr="005F2054">
        <w:rPr>
          <w:rFonts w:ascii="Arial" w:eastAsia="Times New Roman" w:hAnsi="Arial" w:cs="Arial"/>
          <w:color w:val="141413"/>
          <w:lang w:val="en-GB"/>
        </w:rPr>
        <w:t xml:space="preserve">six months, and a similar rate at the hip </w:t>
      </w:r>
      <w:r w:rsidR="000C46FA" w:rsidRPr="005F2054">
        <w:rPr>
          <w:rFonts w:ascii="Arial" w:eastAsia="Times New Roman" w:hAnsi="Arial" w:cs="Arial"/>
          <w:color w:val="141413"/>
          <w:lang w:val="en-GB"/>
        </w:rPr>
        <w:t>within</w:t>
      </w:r>
      <w:r w:rsidRPr="005F2054">
        <w:rPr>
          <w:rFonts w:ascii="Arial" w:eastAsia="Times New Roman" w:hAnsi="Arial" w:cs="Arial"/>
          <w:color w:val="141413"/>
          <w:lang w:val="en-GB"/>
        </w:rPr>
        <w:t xml:space="preserve"> the </w:t>
      </w:r>
      <w:r w:rsidRPr="00264DAD">
        <w:rPr>
          <w:rFonts w:ascii="Arial" w:eastAsia="Times New Roman" w:hAnsi="Arial" w:cs="Arial"/>
          <w:lang w:val="en-GB"/>
        </w:rPr>
        <w:t>first year (</w:t>
      </w:r>
      <w:r w:rsidR="000E54ED" w:rsidRPr="00264DAD">
        <w:rPr>
          <w:rFonts w:ascii="Arial" w:eastAsia="Times New Roman" w:hAnsi="Arial" w:cs="Arial"/>
          <w:lang w:val="en-GB"/>
        </w:rPr>
        <w:t>21</w:t>
      </w:r>
      <w:r w:rsidRPr="00264DAD">
        <w:rPr>
          <w:rFonts w:ascii="Arial" w:eastAsia="Times New Roman" w:hAnsi="Arial" w:cs="Arial"/>
          <w:lang w:val="en-GB"/>
        </w:rPr>
        <w:t xml:space="preserve">). </w:t>
      </w:r>
      <w:r w:rsidR="000C46FA" w:rsidRPr="00264DAD">
        <w:rPr>
          <w:rFonts w:ascii="Arial" w:eastAsia="Times New Roman" w:hAnsi="Arial" w:cs="Arial"/>
          <w:lang w:val="en-GB"/>
        </w:rPr>
        <w:t xml:space="preserve">Most </w:t>
      </w:r>
      <w:r w:rsidR="00572355" w:rsidRPr="005F2054">
        <w:rPr>
          <w:rFonts w:ascii="Arial" w:eastAsia="Times New Roman" w:hAnsi="Arial" w:cs="Arial"/>
          <w:color w:val="000000" w:themeColor="text1"/>
          <w:lang w:val="en-GB"/>
        </w:rPr>
        <w:t xml:space="preserve">studies </w:t>
      </w:r>
      <w:r w:rsidR="000C46FA" w:rsidRPr="005F2054">
        <w:rPr>
          <w:rFonts w:ascii="Arial" w:eastAsia="Times New Roman" w:hAnsi="Arial" w:cs="Arial"/>
          <w:color w:val="000000" w:themeColor="text1"/>
          <w:lang w:val="en-GB"/>
        </w:rPr>
        <w:t xml:space="preserve">report </w:t>
      </w:r>
      <w:r w:rsidR="00572355" w:rsidRPr="005F2054">
        <w:rPr>
          <w:rFonts w:ascii="Arial" w:eastAsia="Times New Roman" w:hAnsi="Arial" w:cs="Arial"/>
          <w:color w:val="141413"/>
          <w:lang w:val="en-GB"/>
        </w:rPr>
        <w:t xml:space="preserve">vertebral </w:t>
      </w:r>
      <w:r w:rsidR="000C46FA" w:rsidRPr="005F2054">
        <w:rPr>
          <w:rFonts w:ascii="Arial" w:eastAsia="Times New Roman" w:hAnsi="Arial" w:cs="Arial"/>
          <w:color w:val="141413"/>
          <w:lang w:val="en-GB"/>
        </w:rPr>
        <w:t>fracture</w:t>
      </w:r>
      <w:r w:rsidR="00572355" w:rsidRPr="005F2054">
        <w:rPr>
          <w:rFonts w:ascii="Arial" w:eastAsia="Times New Roman" w:hAnsi="Arial" w:cs="Arial"/>
          <w:color w:val="141413"/>
          <w:lang w:val="en-GB"/>
        </w:rPr>
        <w:t xml:space="preserve"> </w:t>
      </w:r>
      <w:r w:rsidR="000C46FA" w:rsidRPr="005F2054">
        <w:rPr>
          <w:rFonts w:ascii="Arial" w:eastAsia="Times New Roman" w:hAnsi="Arial" w:cs="Arial"/>
          <w:color w:val="141413"/>
          <w:lang w:val="en-GB"/>
        </w:rPr>
        <w:t xml:space="preserve">incidence ranging </w:t>
      </w:r>
      <w:r w:rsidR="00572355" w:rsidRPr="005F2054">
        <w:rPr>
          <w:rFonts w:ascii="Arial" w:eastAsia="Times New Roman" w:hAnsi="Arial" w:cs="Arial"/>
          <w:color w:val="141413"/>
          <w:lang w:val="en-GB"/>
        </w:rPr>
        <w:t xml:space="preserve">from 33 to 36% in the first </w:t>
      </w:r>
      <w:r w:rsidR="000C46FA" w:rsidRPr="005F2054">
        <w:rPr>
          <w:rFonts w:ascii="Arial" w:eastAsia="Times New Roman" w:hAnsi="Arial" w:cs="Arial"/>
          <w:color w:val="141413"/>
          <w:lang w:val="en-GB"/>
        </w:rPr>
        <w:t xml:space="preserve">one to three years </w:t>
      </w:r>
      <w:r w:rsidR="00572355" w:rsidRPr="005F2054">
        <w:rPr>
          <w:rFonts w:ascii="Arial" w:eastAsia="Times New Roman" w:hAnsi="Arial" w:cs="Arial"/>
          <w:color w:val="141413"/>
          <w:lang w:val="en-GB"/>
        </w:rPr>
        <w:t xml:space="preserve">post-transplant </w:t>
      </w:r>
      <w:r w:rsidR="000C46FA" w:rsidRPr="005F2054">
        <w:rPr>
          <w:rFonts w:ascii="Arial" w:eastAsia="Times New Roman" w:hAnsi="Arial" w:cs="Arial"/>
          <w:color w:val="141413"/>
          <w:lang w:val="en-GB"/>
        </w:rPr>
        <w:t>stabilizing in subsequent years (15).</w:t>
      </w:r>
      <w:r w:rsidRPr="005F2054">
        <w:rPr>
          <w:rFonts w:ascii="Arial" w:eastAsia="Times New Roman" w:hAnsi="Arial" w:cs="Arial"/>
          <w:color w:val="141413"/>
          <w:lang w:val="en-GB"/>
        </w:rPr>
        <w:t xml:space="preserve"> </w:t>
      </w:r>
      <w:r w:rsidR="00314DF4">
        <w:rPr>
          <w:rFonts w:ascii="Arial" w:eastAsia="Times New Roman" w:hAnsi="Arial" w:cs="Arial"/>
          <w:color w:val="141413"/>
          <w:lang w:val="en-GB"/>
        </w:rPr>
        <w:t>D</w:t>
      </w:r>
      <w:r w:rsidR="000C46FA" w:rsidRPr="005F2054">
        <w:rPr>
          <w:rFonts w:ascii="Arial" w:eastAsia="Times New Roman" w:hAnsi="Arial" w:cs="Arial"/>
          <w:color w:val="141413"/>
          <w:lang w:val="en-GB"/>
        </w:rPr>
        <w:t>uring the initial months after transplantation, bone resorption markers are elevated, while bone formation markers (such as osteocalcin), are reduced. The levels typically return to normal by the end of the first year</w:t>
      </w:r>
      <w:r w:rsidR="004B3CF4" w:rsidRPr="005F2054">
        <w:rPr>
          <w:rFonts w:ascii="Arial" w:eastAsia="Times New Roman" w:hAnsi="Arial" w:cs="Arial"/>
          <w:color w:val="141413"/>
          <w:lang w:val="en-GB"/>
        </w:rPr>
        <w:t xml:space="preserve"> (38)</w:t>
      </w:r>
      <w:r w:rsidR="00577724" w:rsidRPr="005F2054">
        <w:rPr>
          <w:rFonts w:ascii="Arial" w:eastAsia="Times New Roman" w:hAnsi="Arial" w:cs="Arial"/>
          <w:color w:val="141413"/>
          <w:lang w:val="en-GB"/>
        </w:rPr>
        <w:t>.</w:t>
      </w:r>
    </w:p>
    <w:p w14:paraId="52D1E29E" w14:textId="77777777" w:rsidR="00264DAD" w:rsidRPr="005F2054" w:rsidRDefault="00264DAD" w:rsidP="005F2054">
      <w:pPr>
        <w:spacing w:after="0"/>
        <w:contextualSpacing/>
        <w:rPr>
          <w:rFonts w:ascii="Arial" w:eastAsia="Times New Roman" w:hAnsi="Arial" w:cs="Arial"/>
          <w:color w:val="141413"/>
          <w:lang w:val="en-GB"/>
        </w:rPr>
      </w:pPr>
    </w:p>
    <w:p w14:paraId="7499CC19" w14:textId="2A72290C" w:rsidR="001145FB" w:rsidRDefault="00F52E29" w:rsidP="005F2054">
      <w:pPr>
        <w:spacing w:after="0"/>
        <w:contextualSpacing/>
        <w:rPr>
          <w:rFonts w:ascii="Arial" w:eastAsia="Times New Roman" w:hAnsi="Arial" w:cs="Arial"/>
          <w:lang w:val="en-GB"/>
        </w:rPr>
      </w:pPr>
      <w:r w:rsidRPr="005F2054">
        <w:rPr>
          <w:rFonts w:ascii="Arial" w:eastAsia="Times New Roman" w:hAnsi="Arial" w:cs="Arial"/>
          <w:color w:val="141413"/>
          <w:lang w:val="en-GB"/>
        </w:rPr>
        <w:t>Patients with c</w:t>
      </w:r>
      <w:r w:rsidR="00BA414D" w:rsidRPr="005F2054">
        <w:rPr>
          <w:rFonts w:ascii="Arial" w:eastAsia="Times New Roman" w:hAnsi="Arial" w:cs="Arial"/>
          <w:color w:val="141413"/>
          <w:lang w:val="en-GB"/>
        </w:rPr>
        <w:t xml:space="preserve">ongestive heart failure patients are </w:t>
      </w:r>
      <w:r w:rsidRPr="005F2054">
        <w:rPr>
          <w:rFonts w:ascii="Arial" w:eastAsia="Times New Roman" w:hAnsi="Arial" w:cs="Arial"/>
          <w:color w:val="141413"/>
          <w:lang w:val="en-GB"/>
        </w:rPr>
        <w:t xml:space="preserve">particularly </w:t>
      </w:r>
      <w:r w:rsidR="00BA414D" w:rsidRPr="005F2054">
        <w:rPr>
          <w:rFonts w:ascii="Arial" w:eastAsia="Times New Roman" w:hAnsi="Arial" w:cs="Arial"/>
          <w:color w:val="141413"/>
          <w:lang w:val="en-GB"/>
        </w:rPr>
        <w:t xml:space="preserve">prone </w:t>
      </w:r>
      <w:r w:rsidRPr="005F2054">
        <w:rPr>
          <w:rFonts w:ascii="Arial" w:eastAsia="Times New Roman" w:hAnsi="Arial" w:cs="Arial"/>
          <w:color w:val="141413"/>
          <w:lang w:val="en-GB"/>
        </w:rPr>
        <w:t xml:space="preserve">to </w:t>
      </w:r>
      <w:r w:rsidR="00133292" w:rsidRPr="005F2054">
        <w:rPr>
          <w:rFonts w:ascii="Arial" w:eastAsia="Times New Roman" w:hAnsi="Arial" w:cs="Arial"/>
          <w:color w:val="141413"/>
          <w:lang w:val="en-GB"/>
        </w:rPr>
        <w:t>significant</w:t>
      </w:r>
      <w:r w:rsidR="00BA414D" w:rsidRPr="005F2054">
        <w:rPr>
          <w:rFonts w:ascii="Arial" w:eastAsia="Times New Roman" w:hAnsi="Arial" w:cs="Arial"/>
          <w:color w:val="141413"/>
          <w:lang w:val="en-GB"/>
        </w:rPr>
        <w:t xml:space="preserve"> bone los</w:t>
      </w:r>
      <w:r w:rsidRPr="005F2054">
        <w:rPr>
          <w:rFonts w:ascii="Arial" w:eastAsia="Times New Roman" w:hAnsi="Arial" w:cs="Arial"/>
          <w:color w:val="141413"/>
          <w:lang w:val="en-GB"/>
        </w:rPr>
        <w:t xml:space="preserve">s compared to other cardiac transplant </w:t>
      </w:r>
      <w:r w:rsidRPr="00264DAD">
        <w:rPr>
          <w:rFonts w:ascii="Arial" w:eastAsia="Times New Roman" w:hAnsi="Arial" w:cs="Arial"/>
          <w:lang w:val="en-GB"/>
        </w:rPr>
        <w:t xml:space="preserve">candidates </w:t>
      </w:r>
      <w:r w:rsidR="00BA414D" w:rsidRPr="00264DAD">
        <w:rPr>
          <w:rFonts w:ascii="Arial" w:eastAsia="Times New Roman" w:hAnsi="Arial" w:cs="Arial"/>
          <w:lang w:val="en-GB"/>
        </w:rPr>
        <w:t>(7).</w:t>
      </w:r>
      <w:r w:rsidR="004659FE" w:rsidRPr="00264DAD">
        <w:rPr>
          <w:rFonts w:ascii="Arial" w:eastAsia="Times New Roman" w:hAnsi="Arial" w:cs="Arial"/>
          <w:lang w:val="en-GB"/>
        </w:rPr>
        <w:t xml:space="preserve"> </w:t>
      </w:r>
      <w:r w:rsidR="001145FB" w:rsidRPr="00264DAD">
        <w:rPr>
          <w:rFonts w:ascii="Arial" w:eastAsia="Times New Roman" w:hAnsi="Arial" w:cs="Arial"/>
          <w:lang w:val="en-GB"/>
        </w:rPr>
        <w:t>Higher exposure to glu</w:t>
      </w:r>
      <w:r w:rsidR="00150FA9" w:rsidRPr="00264DAD">
        <w:rPr>
          <w:rFonts w:ascii="Arial" w:eastAsia="Times New Roman" w:hAnsi="Arial" w:cs="Arial"/>
          <w:lang w:val="en-GB"/>
        </w:rPr>
        <w:t>c</w:t>
      </w:r>
      <w:r w:rsidR="001145FB" w:rsidRPr="00264DAD">
        <w:rPr>
          <w:rFonts w:ascii="Arial" w:eastAsia="Times New Roman" w:hAnsi="Arial" w:cs="Arial"/>
          <w:lang w:val="en-GB"/>
        </w:rPr>
        <w:t xml:space="preserve">ocorticoids, vitamin D deficiency, and testosterone deficiency in men, are </w:t>
      </w:r>
      <w:r w:rsidRPr="00264DAD">
        <w:rPr>
          <w:rFonts w:ascii="Arial" w:eastAsia="Times New Roman" w:hAnsi="Arial" w:cs="Arial"/>
          <w:lang w:val="en-GB"/>
        </w:rPr>
        <w:t xml:space="preserve">linked to reduced bone </w:t>
      </w:r>
      <w:r w:rsidR="001145FB" w:rsidRPr="00264DAD">
        <w:rPr>
          <w:rFonts w:ascii="Arial" w:eastAsia="Times New Roman" w:hAnsi="Arial" w:cs="Arial"/>
          <w:lang w:val="en-GB"/>
        </w:rPr>
        <w:t>formation in the first year</w:t>
      </w:r>
      <w:r w:rsidR="008561E5" w:rsidRPr="00264DAD">
        <w:rPr>
          <w:rFonts w:ascii="Arial" w:eastAsia="Times New Roman" w:hAnsi="Arial" w:cs="Arial"/>
          <w:lang w:val="en-GB"/>
        </w:rPr>
        <w:t xml:space="preserve"> (Table 3)</w:t>
      </w:r>
      <w:r w:rsidR="001145FB" w:rsidRPr="00264DAD">
        <w:rPr>
          <w:rFonts w:ascii="Arial" w:eastAsia="Times New Roman" w:hAnsi="Arial" w:cs="Arial"/>
          <w:lang w:val="en-GB"/>
        </w:rPr>
        <w:t xml:space="preserve">. </w:t>
      </w:r>
      <w:r w:rsidRPr="00264DAD">
        <w:rPr>
          <w:rFonts w:ascii="Arial" w:eastAsia="Times New Roman" w:hAnsi="Arial" w:cs="Arial"/>
          <w:lang w:val="en-GB"/>
        </w:rPr>
        <w:t>By the</w:t>
      </w:r>
      <w:r w:rsidR="00FD62DF" w:rsidRPr="00264DAD">
        <w:rPr>
          <w:rFonts w:ascii="Arial" w:eastAsia="Times New Roman" w:hAnsi="Arial" w:cs="Arial"/>
          <w:lang w:val="en-GB"/>
        </w:rPr>
        <w:t xml:space="preserve"> </w:t>
      </w:r>
      <w:r w:rsidR="00314DF4" w:rsidRPr="00264DAD">
        <w:rPr>
          <w:rFonts w:ascii="Arial" w:eastAsia="Times New Roman" w:hAnsi="Arial" w:cs="Arial"/>
          <w:lang w:val="en-GB"/>
        </w:rPr>
        <w:t>third-year</w:t>
      </w:r>
      <w:r w:rsidRPr="00264DAD">
        <w:rPr>
          <w:rFonts w:ascii="Arial" w:eastAsia="Times New Roman" w:hAnsi="Arial" w:cs="Arial"/>
          <w:lang w:val="en-GB"/>
        </w:rPr>
        <w:t xml:space="preserve"> post-transplant, </w:t>
      </w:r>
      <w:r w:rsidR="00FD62DF" w:rsidRPr="00264DAD">
        <w:rPr>
          <w:rFonts w:ascii="Arial" w:eastAsia="Times New Roman" w:hAnsi="Arial" w:cs="Arial"/>
          <w:lang w:val="en-GB"/>
        </w:rPr>
        <w:t xml:space="preserve">a significant recovery in lumbar BMD is </w:t>
      </w:r>
      <w:r w:rsidRPr="00264DAD">
        <w:rPr>
          <w:rFonts w:ascii="Arial" w:eastAsia="Times New Roman" w:hAnsi="Arial" w:cs="Arial"/>
          <w:lang w:val="en-GB"/>
        </w:rPr>
        <w:t>observed</w:t>
      </w:r>
      <w:r w:rsidR="00FD62DF" w:rsidRPr="00264DAD">
        <w:rPr>
          <w:rFonts w:ascii="Arial" w:eastAsia="Times New Roman" w:hAnsi="Arial" w:cs="Arial"/>
          <w:lang w:val="en-GB"/>
        </w:rPr>
        <w:t xml:space="preserve">. </w:t>
      </w:r>
      <w:r w:rsidRPr="00264DAD">
        <w:rPr>
          <w:rFonts w:ascii="Arial" w:eastAsia="Times New Roman" w:hAnsi="Arial" w:cs="Arial"/>
          <w:lang w:val="en-GB"/>
        </w:rPr>
        <w:t xml:space="preserve">While both </w:t>
      </w:r>
      <w:r w:rsidR="00FD62DF" w:rsidRPr="00264DAD">
        <w:rPr>
          <w:rFonts w:ascii="Arial" w:eastAsia="Times New Roman" w:hAnsi="Arial" w:cs="Arial"/>
          <w:lang w:val="en-GB"/>
        </w:rPr>
        <w:t xml:space="preserve">men and women </w:t>
      </w:r>
      <w:r w:rsidRPr="00264DAD">
        <w:rPr>
          <w:rFonts w:ascii="Arial" w:eastAsia="Times New Roman" w:hAnsi="Arial" w:cs="Arial"/>
          <w:lang w:val="en-GB"/>
        </w:rPr>
        <w:t>experience similar</w:t>
      </w:r>
      <w:r w:rsidR="00FD62DF" w:rsidRPr="00264DAD">
        <w:rPr>
          <w:rFonts w:ascii="Arial" w:eastAsia="Times New Roman" w:hAnsi="Arial" w:cs="Arial"/>
          <w:lang w:val="en-GB"/>
        </w:rPr>
        <w:t xml:space="preserve"> rates of bone loss, </w:t>
      </w:r>
      <w:r w:rsidRPr="00264DAD">
        <w:rPr>
          <w:rFonts w:ascii="Arial" w:eastAsia="Times New Roman" w:hAnsi="Arial" w:cs="Arial"/>
          <w:lang w:val="en-GB"/>
        </w:rPr>
        <w:t xml:space="preserve">women are </w:t>
      </w:r>
      <w:r w:rsidR="00FD62DF" w:rsidRPr="00264DAD">
        <w:rPr>
          <w:rFonts w:ascii="Arial" w:eastAsia="Times New Roman" w:hAnsi="Arial" w:cs="Arial"/>
          <w:lang w:val="en-GB"/>
        </w:rPr>
        <w:t xml:space="preserve">more prone to fractures </w:t>
      </w:r>
      <w:r w:rsidRPr="00264DAD">
        <w:rPr>
          <w:rFonts w:ascii="Arial" w:eastAsia="Times New Roman" w:hAnsi="Arial" w:cs="Arial"/>
          <w:lang w:val="en-GB"/>
        </w:rPr>
        <w:t xml:space="preserve">due to </w:t>
      </w:r>
      <w:r w:rsidR="00FD62DF" w:rsidRPr="00264DAD">
        <w:rPr>
          <w:rFonts w:ascii="Arial" w:eastAsia="Times New Roman" w:hAnsi="Arial" w:cs="Arial"/>
          <w:lang w:val="en-GB"/>
        </w:rPr>
        <w:t>lower pre</w:t>
      </w:r>
      <w:r w:rsidR="00CE396D" w:rsidRPr="00264DAD">
        <w:rPr>
          <w:rFonts w:ascii="Arial" w:eastAsia="Times New Roman" w:hAnsi="Arial" w:cs="Arial"/>
          <w:lang w:val="en-GB"/>
        </w:rPr>
        <w:t>-</w:t>
      </w:r>
      <w:r w:rsidR="00FD62DF" w:rsidRPr="00264DAD">
        <w:rPr>
          <w:rFonts w:ascii="Arial" w:eastAsia="Times New Roman" w:hAnsi="Arial" w:cs="Arial"/>
          <w:lang w:val="en-GB"/>
        </w:rPr>
        <w:t>transplantation</w:t>
      </w:r>
      <w:r w:rsidRPr="00264DAD">
        <w:rPr>
          <w:rFonts w:ascii="Arial" w:eastAsia="Times New Roman" w:hAnsi="Arial" w:cs="Arial"/>
          <w:lang w:val="en-GB"/>
        </w:rPr>
        <w:t xml:space="preserve"> BMD.</w:t>
      </w:r>
    </w:p>
    <w:p w14:paraId="7B8258E8" w14:textId="77777777" w:rsidR="00264DAD" w:rsidRPr="00264DAD" w:rsidRDefault="00264DAD" w:rsidP="005F2054">
      <w:pPr>
        <w:spacing w:after="0"/>
        <w:contextualSpacing/>
        <w:rPr>
          <w:rFonts w:ascii="Arial" w:eastAsia="Times New Roman" w:hAnsi="Arial" w:cs="Arial"/>
          <w:lang w:val="en-GB"/>
        </w:rPr>
      </w:pPr>
    </w:p>
    <w:p w14:paraId="146802B8" w14:textId="41D73308" w:rsidR="00724795" w:rsidRDefault="00CE396D" w:rsidP="005F2054">
      <w:pPr>
        <w:spacing w:after="0"/>
        <w:contextualSpacing/>
        <w:rPr>
          <w:rFonts w:ascii="Arial" w:eastAsia="Times New Roman" w:hAnsi="Arial" w:cs="Arial"/>
          <w:lang w:val="en-GB"/>
        </w:rPr>
      </w:pPr>
      <w:r w:rsidRPr="00264DAD">
        <w:rPr>
          <w:rFonts w:ascii="Arial" w:eastAsia="Times New Roman" w:hAnsi="Arial" w:cs="Arial"/>
          <w:lang w:val="en-GB"/>
        </w:rPr>
        <w:t>In some patients</w:t>
      </w:r>
      <w:r w:rsidR="00CC4C33" w:rsidRPr="00264DAD">
        <w:rPr>
          <w:rFonts w:ascii="Arial" w:eastAsia="Times New Roman" w:hAnsi="Arial" w:cs="Arial"/>
          <w:lang w:val="en-GB"/>
        </w:rPr>
        <w:t>,</w:t>
      </w:r>
      <w:r w:rsidRPr="00264DAD">
        <w:rPr>
          <w:rFonts w:ascii="Arial" w:eastAsia="Times New Roman" w:hAnsi="Arial" w:cs="Arial"/>
          <w:lang w:val="en-GB"/>
        </w:rPr>
        <w:t xml:space="preserve"> </w:t>
      </w:r>
      <w:r w:rsidR="001C5A5A" w:rsidRPr="00264DAD">
        <w:rPr>
          <w:rFonts w:ascii="Arial" w:eastAsia="Times New Roman" w:hAnsi="Arial" w:cs="Arial"/>
          <w:lang w:val="en-GB"/>
        </w:rPr>
        <w:t xml:space="preserve">bone </w:t>
      </w:r>
      <w:r w:rsidRPr="00264DAD">
        <w:rPr>
          <w:rFonts w:ascii="Arial" w:eastAsia="Times New Roman" w:hAnsi="Arial" w:cs="Arial"/>
          <w:lang w:val="en-GB"/>
        </w:rPr>
        <w:t xml:space="preserve">recovery </w:t>
      </w:r>
      <w:r w:rsidR="001C5A5A" w:rsidRPr="00264DAD">
        <w:rPr>
          <w:rFonts w:ascii="Arial" w:eastAsia="Times New Roman" w:hAnsi="Arial" w:cs="Arial"/>
          <w:lang w:val="en-GB"/>
        </w:rPr>
        <w:t xml:space="preserve">has not been observed, with a reported </w:t>
      </w:r>
      <w:r w:rsidR="00FB7BFD" w:rsidRPr="00264DAD">
        <w:rPr>
          <w:rFonts w:ascii="Arial" w:eastAsia="Times New Roman" w:hAnsi="Arial" w:cs="Arial"/>
          <w:lang w:val="en-GB"/>
        </w:rPr>
        <w:t xml:space="preserve">fracture prevalence of 40% </w:t>
      </w:r>
      <w:r w:rsidR="00AD2B57" w:rsidRPr="00264DAD">
        <w:rPr>
          <w:rFonts w:ascii="Arial" w:eastAsia="Times New Roman" w:hAnsi="Arial" w:cs="Arial"/>
          <w:lang w:val="en-GB"/>
        </w:rPr>
        <w:t xml:space="preserve">among </w:t>
      </w:r>
      <w:r w:rsidR="00FB7BFD" w:rsidRPr="00264DAD">
        <w:rPr>
          <w:rFonts w:ascii="Arial" w:eastAsia="Times New Roman" w:hAnsi="Arial" w:cs="Arial"/>
          <w:lang w:val="en-GB"/>
        </w:rPr>
        <w:t>180 individuals who under</w:t>
      </w:r>
      <w:r w:rsidR="00AD2B57" w:rsidRPr="00264DAD">
        <w:rPr>
          <w:rFonts w:ascii="Arial" w:eastAsia="Times New Roman" w:hAnsi="Arial" w:cs="Arial"/>
          <w:lang w:val="en-GB"/>
        </w:rPr>
        <w:t>went</w:t>
      </w:r>
      <w:r w:rsidR="00FB7BFD" w:rsidRPr="00264DAD">
        <w:rPr>
          <w:rFonts w:ascii="Arial" w:eastAsia="Times New Roman" w:hAnsi="Arial" w:cs="Arial"/>
          <w:lang w:val="en-GB"/>
        </w:rPr>
        <w:t xml:space="preserve"> cardiac transplantation over 10 years </w:t>
      </w:r>
      <w:r w:rsidR="003D2E89" w:rsidRPr="00264DAD">
        <w:rPr>
          <w:rFonts w:ascii="Arial" w:eastAsia="Times New Roman" w:hAnsi="Arial" w:cs="Arial"/>
          <w:lang w:val="en-GB"/>
        </w:rPr>
        <w:t>(</w:t>
      </w:r>
      <w:r w:rsidR="00CE75AE" w:rsidRPr="00264DAD">
        <w:rPr>
          <w:rFonts w:ascii="Arial" w:eastAsia="Times New Roman" w:hAnsi="Arial" w:cs="Arial"/>
          <w:lang w:val="en-GB"/>
        </w:rPr>
        <w:t>44</w:t>
      </w:r>
      <w:r w:rsidR="003D2E89" w:rsidRPr="00264DAD">
        <w:rPr>
          <w:rFonts w:ascii="Arial" w:eastAsia="Times New Roman" w:hAnsi="Arial" w:cs="Arial"/>
          <w:lang w:val="en-GB"/>
        </w:rPr>
        <w:t xml:space="preserve">). </w:t>
      </w:r>
      <w:r w:rsidR="00FB7BFD" w:rsidRPr="00264DAD">
        <w:rPr>
          <w:rFonts w:ascii="Arial" w:eastAsia="Times New Roman" w:hAnsi="Arial" w:cs="Arial"/>
          <w:lang w:val="en-GB"/>
        </w:rPr>
        <w:t xml:space="preserve">Furthermore, significant </w:t>
      </w:r>
      <w:r w:rsidR="004659FE" w:rsidRPr="00264DAD">
        <w:rPr>
          <w:rFonts w:ascii="Arial" w:eastAsia="Times New Roman" w:hAnsi="Arial" w:cs="Arial"/>
          <w:lang w:val="en-GB"/>
        </w:rPr>
        <w:t xml:space="preserve">bone loss </w:t>
      </w:r>
      <w:r w:rsidR="007248CE" w:rsidRPr="00264DAD">
        <w:rPr>
          <w:rFonts w:ascii="Arial" w:eastAsia="Times New Roman" w:hAnsi="Arial" w:cs="Arial"/>
          <w:lang w:val="en-GB"/>
        </w:rPr>
        <w:t xml:space="preserve">has been </w:t>
      </w:r>
      <w:r w:rsidR="00FB7BFD" w:rsidRPr="00264DAD">
        <w:rPr>
          <w:rFonts w:ascii="Arial" w:eastAsia="Times New Roman" w:hAnsi="Arial" w:cs="Arial"/>
          <w:lang w:val="en-GB"/>
        </w:rPr>
        <w:t>documented, with decreases ranging from 3% to 10</w:t>
      </w:r>
      <w:r w:rsidR="007248CE" w:rsidRPr="00264DAD">
        <w:rPr>
          <w:rFonts w:ascii="Arial" w:eastAsia="Times New Roman" w:hAnsi="Arial" w:cs="Arial"/>
          <w:lang w:val="en-GB"/>
        </w:rPr>
        <w:t xml:space="preserve">% in the lumbar spine, </w:t>
      </w:r>
      <w:r w:rsidR="00381EC3" w:rsidRPr="00264DAD">
        <w:rPr>
          <w:rFonts w:ascii="Arial" w:eastAsia="Times New Roman" w:hAnsi="Arial" w:cs="Arial"/>
          <w:lang w:val="en-GB"/>
        </w:rPr>
        <w:t>6</w:t>
      </w:r>
      <w:r w:rsidR="00FB7BFD" w:rsidRPr="00264DAD">
        <w:rPr>
          <w:rFonts w:ascii="Arial" w:eastAsia="Times New Roman" w:hAnsi="Arial" w:cs="Arial"/>
          <w:lang w:val="en-GB"/>
        </w:rPr>
        <w:t xml:space="preserve">% to </w:t>
      </w:r>
      <w:r w:rsidR="00381EC3" w:rsidRPr="00264DAD">
        <w:rPr>
          <w:rFonts w:ascii="Arial" w:eastAsia="Times New Roman" w:hAnsi="Arial" w:cs="Arial"/>
          <w:lang w:val="en-GB"/>
        </w:rPr>
        <w:t>11</w:t>
      </w:r>
      <w:r w:rsidR="007248CE" w:rsidRPr="00264DAD">
        <w:rPr>
          <w:rFonts w:ascii="Arial" w:eastAsia="Times New Roman" w:hAnsi="Arial" w:cs="Arial"/>
          <w:lang w:val="en-GB"/>
        </w:rPr>
        <w:t xml:space="preserve">% in the femoral </w:t>
      </w:r>
      <w:r w:rsidR="00CE75AE" w:rsidRPr="00264DAD">
        <w:rPr>
          <w:rFonts w:ascii="Arial" w:eastAsia="Times New Roman" w:hAnsi="Arial" w:cs="Arial"/>
          <w:lang w:val="en-GB"/>
        </w:rPr>
        <w:t>neck, and</w:t>
      </w:r>
      <w:r w:rsidR="007248CE" w:rsidRPr="00264DAD">
        <w:rPr>
          <w:rFonts w:ascii="Arial" w:eastAsia="Times New Roman" w:hAnsi="Arial" w:cs="Arial"/>
          <w:lang w:val="en-GB"/>
        </w:rPr>
        <w:t xml:space="preserve"> </w:t>
      </w:r>
      <w:r w:rsidR="00FB7BFD" w:rsidRPr="00264DAD">
        <w:rPr>
          <w:rFonts w:ascii="Arial" w:eastAsia="Times New Roman" w:hAnsi="Arial" w:cs="Arial"/>
          <w:lang w:val="en-GB"/>
        </w:rPr>
        <w:t xml:space="preserve">fracture rates between </w:t>
      </w:r>
      <w:r w:rsidR="007248CE" w:rsidRPr="00264DAD">
        <w:rPr>
          <w:rFonts w:ascii="Arial" w:eastAsia="Times New Roman" w:hAnsi="Arial" w:cs="Arial"/>
          <w:lang w:val="en-GB"/>
        </w:rPr>
        <w:t>12</w:t>
      </w:r>
      <w:r w:rsidR="00FB7BFD" w:rsidRPr="00264DAD">
        <w:rPr>
          <w:rFonts w:ascii="Arial" w:eastAsia="Times New Roman" w:hAnsi="Arial" w:cs="Arial"/>
          <w:lang w:val="en-GB"/>
        </w:rPr>
        <w:t xml:space="preserve">% </w:t>
      </w:r>
      <w:r w:rsidR="00474535" w:rsidRPr="00264DAD">
        <w:rPr>
          <w:rFonts w:ascii="Arial" w:eastAsia="Times New Roman" w:hAnsi="Arial" w:cs="Arial"/>
          <w:lang w:val="en-GB"/>
        </w:rPr>
        <w:t>and</w:t>
      </w:r>
      <w:r w:rsidR="00FB7BFD" w:rsidRPr="00264DAD">
        <w:rPr>
          <w:rFonts w:ascii="Arial" w:eastAsia="Times New Roman" w:hAnsi="Arial" w:cs="Arial"/>
          <w:lang w:val="en-GB"/>
        </w:rPr>
        <w:t xml:space="preserve"> </w:t>
      </w:r>
      <w:r w:rsidR="007248CE" w:rsidRPr="00264DAD">
        <w:rPr>
          <w:rFonts w:ascii="Arial" w:eastAsia="Times New Roman" w:hAnsi="Arial" w:cs="Arial"/>
          <w:lang w:val="en-GB"/>
        </w:rPr>
        <w:t xml:space="preserve">36% </w:t>
      </w:r>
      <w:r w:rsidR="00FB7BFD" w:rsidRPr="00264DAD">
        <w:rPr>
          <w:rFonts w:ascii="Arial" w:eastAsia="Times New Roman" w:hAnsi="Arial" w:cs="Arial"/>
          <w:lang w:val="en-GB"/>
        </w:rPr>
        <w:t>within</w:t>
      </w:r>
      <w:r w:rsidR="00567700" w:rsidRPr="00264DAD">
        <w:rPr>
          <w:rFonts w:ascii="Arial" w:eastAsia="Times New Roman" w:hAnsi="Arial" w:cs="Arial"/>
          <w:lang w:val="en-GB"/>
        </w:rPr>
        <w:t xml:space="preserve"> </w:t>
      </w:r>
      <w:r w:rsidR="00407760" w:rsidRPr="00264DAD">
        <w:rPr>
          <w:rFonts w:ascii="Arial" w:eastAsia="Times New Roman" w:hAnsi="Arial" w:cs="Arial"/>
          <w:lang w:val="en-GB"/>
        </w:rPr>
        <w:t xml:space="preserve">one </w:t>
      </w:r>
      <w:r w:rsidR="00FB7BFD" w:rsidRPr="00264DAD">
        <w:rPr>
          <w:rFonts w:ascii="Arial" w:eastAsia="Times New Roman" w:hAnsi="Arial" w:cs="Arial"/>
          <w:lang w:val="en-GB"/>
        </w:rPr>
        <w:t xml:space="preserve">year. These rates of bone loss are notably higher compared to the </w:t>
      </w:r>
      <w:r w:rsidR="00407760" w:rsidRPr="00264DAD">
        <w:rPr>
          <w:rFonts w:ascii="Arial" w:eastAsia="Times New Roman" w:hAnsi="Arial" w:cs="Arial"/>
          <w:lang w:val="en-GB"/>
        </w:rPr>
        <w:t>1.41% and 0.35%</w:t>
      </w:r>
      <w:r w:rsidR="00FB7BFD" w:rsidRPr="00264DAD">
        <w:rPr>
          <w:rFonts w:ascii="Arial" w:eastAsia="Times New Roman" w:hAnsi="Arial" w:cs="Arial"/>
          <w:lang w:val="en-GB"/>
        </w:rPr>
        <w:t xml:space="preserve"> annual decreases observed at the lumbar spine and femoral neck, respectively, in the healthy population (</w:t>
      </w:r>
      <w:r w:rsidR="00CE75AE" w:rsidRPr="00264DAD">
        <w:rPr>
          <w:rFonts w:ascii="Arial" w:eastAsia="Times New Roman" w:hAnsi="Arial" w:cs="Arial"/>
          <w:bCs/>
          <w:lang w:val="en-GB"/>
        </w:rPr>
        <w:t>44,45</w:t>
      </w:r>
      <w:r w:rsidR="004259E3" w:rsidRPr="00264DAD">
        <w:rPr>
          <w:rFonts w:ascii="Arial" w:eastAsia="Times New Roman" w:hAnsi="Arial" w:cs="Arial"/>
          <w:bCs/>
          <w:lang w:val="en-GB"/>
        </w:rPr>
        <w:t>)</w:t>
      </w:r>
      <w:r w:rsidR="002501FC" w:rsidRPr="00264DAD">
        <w:rPr>
          <w:rFonts w:ascii="Arial" w:eastAsia="Times New Roman" w:hAnsi="Arial" w:cs="Arial"/>
          <w:bCs/>
          <w:lang w:val="en-GB"/>
        </w:rPr>
        <w:t>.</w:t>
      </w:r>
      <w:r w:rsidR="002501FC" w:rsidRPr="00264DAD">
        <w:rPr>
          <w:rFonts w:ascii="Arial" w:eastAsia="Times New Roman" w:hAnsi="Arial" w:cs="Arial"/>
          <w:lang w:val="en-GB"/>
        </w:rPr>
        <w:t xml:space="preserve"> </w:t>
      </w:r>
    </w:p>
    <w:p w14:paraId="6F175069" w14:textId="77777777" w:rsidR="00264DAD" w:rsidRPr="00264DAD" w:rsidRDefault="00264DAD" w:rsidP="005F2054">
      <w:pPr>
        <w:spacing w:after="0"/>
        <w:contextualSpacing/>
        <w:rPr>
          <w:rFonts w:ascii="Arial" w:eastAsia="Times New Roman" w:hAnsi="Arial" w:cs="Arial"/>
          <w:lang w:val="en-GB"/>
        </w:rPr>
      </w:pPr>
    </w:p>
    <w:p w14:paraId="753D14B2" w14:textId="7ED14FDF" w:rsidR="002010A7" w:rsidRPr="00C3240C" w:rsidRDefault="00E665B9" w:rsidP="005F2054">
      <w:pPr>
        <w:spacing w:after="0"/>
        <w:contextualSpacing/>
        <w:rPr>
          <w:rFonts w:ascii="Arial" w:eastAsia="Times New Roman" w:hAnsi="Arial" w:cs="Arial"/>
          <w:b/>
          <w:color w:val="00B050"/>
          <w:lang w:val="en-GB"/>
        </w:rPr>
      </w:pPr>
      <w:r w:rsidRPr="00C3240C">
        <w:rPr>
          <w:rFonts w:ascii="Arial" w:eastAsia="Times New Roman" w:hAnsi="Arial" w:cs="Arial"/>
          <w:b/>
          <w:color w:val="00B050"/>
          <w:lang w:val="en-GB"/>
        </w:rPr>
        <w:lastRenderedPageBreak/>
        <w:t>L</w:t>
      </w:r>
      <w:r w:rsidR="00264DAD" w:rsidRPr="00C3240C">
        <w:rPr>
          <w:rFonts w:ascii="Arial" w:eastAsia="Times New Roman" w:hAnsi="Arial" w:cs="Arial"/>
          <w:b/>
          <w:color w:val="00B050"/>
          <w:lang w:val="en-GB"/>
        </w:rPr>
        <w:t>ung Disease</w:t>
      </w:r>
    </w:p>
    <w:p w14:paraId="53D991CE" w14:textId="77777777" w:rsidR="00264DAD" w:rsidRDefault="00264DAD" w:rsidP="005F2054">
      <w:pPr>
        <w:spacing w:after="0"/>
        <w:contextualSpacing/>
        <w:rPr>
          <w:rFonts w:ascii="Arial" w:eastAsia="Times New Roman" w:hAnsi="Arial" w:cs="Arial"/>
          <w:color w:val="141413"/>
          <w:lang w:val="en-GB"/>
        </w:rPr>
      </w:pPr>
    </w:p>
    <w:p w14:paraId="76935F10" w14:textId="32431902" w:rsidR="00D73F26" w:rsidRDefault="00FD666E" w:rsidP="005F2054">
      <w:pPr>
        <w:spacing w:after="0"/>
        <w:contextualSpacing/>
        <w:rPr>
          <w:rFonts w:ascii="Arial" w:eastAsia="Times New Roman" w:hAnsi="Arial" w:cs="Arial"/>
          <w:color w:val="141413"/>
          <w:lang w:val="en-GB"/>
        </w:rPr>
      </w:pPr>
      <w:r w:rsidRPr="005F2054">
        <w:rPr>
          <w:rFonts w:ascii="Arial" w:eastAsia="Times New Roman" w:hAnsi="Arial" w:cs="Arial"/>
          <w:color w:val="141413"/>
          <w:lang w:val="en-GB"/>
        </w:rPr>
        <w:t xml:space="preserve">Patients with chronic obstructive pulmonary disease </w:t>
      </w:r>
      <w:r w:rsidR="0093296F" w:rsidRPr="005F2054">
        <w:rPr>
          <w:rFonts w:ascii="Arial" w:eastAsia="Times New Roman" w:hAnsi="Arial" w:cs="Arial"/>
          <w:color w:val="141413"/>
          <w:lang w:val="en-GB"/>
        </w:rPr>
        <w:t xml:space="preserve">(COPD) have a high prevalence of </w:t>
      </w:r>
      <w:r w:rsidRPr="005F2054">
        <w:rPr>
          <w:rFonts w:ascii="Arial" w:eastAsia="Times New Roman" w:hAnsi="Arial" w:cs="Arial"/>
          <w:color w:val="141413"/>
          <w:lang w:val="en-GB"/>
        </w:rPr>
        <w:t xml:space="preserve">osteoporosis </w:t>
      </w:r>
      <w:r w:rsidR="0093296F" w:rsidRPr="005F2054">
        <w:rPr>
          <w:rFonts w:ascii="Arial" w:eastAsia="Times New Roman" w:hAnsi="Arial" w:cs="Arial"/>
          <w:color w:val="141413"/>
          <w:lang w:val="en-GB"/>
        </w:rPr>
        <w:t xml:space="preserve">which can reach 57% to </w:t>
      </w:r>
      <w:r w:rsidR="00994F5F" w:rsidRPr="005F2054">
        <w:rPr>
          <w:rFonts w:ascii="Arial" w:eastAsia="Times New Roman" w:hAnsi="Arial" w:cs="Arial"/>
          <w:color w:val="141413"/>
          <w:lang w:val="en-GB"/>
        </w:rPr>
        <w:t>73</w:t>
      </w:r>
      <w:r w:rsidR="005F6B97" w:rsidRPr="005F2054">
        <w:rPr>
          <w:rFonts w:ascii="Arial" w:eastAsia="Times New Roman" w:hAnsi="Arial" w:cs="Arial"/>
          <w:color w:val="141413"/>
          <w:lang w:val="en-GB"/>
        </w:rPr>
        <w:t>% in</w:t>
      </w:r>
      <w:r w:rsidRPr="005F2054">
        <w:rPr>
          <w:rFonts w:ascii="Arial" w:eastAsia="Times New Roman" w:hAnsi="Arial" w:cs="Arial"/>
          <w:color w:val="141413"/>
          <w:lang w:val="en-GB"/>
        </w:rPr>
        <w:t xml:space="preserve"> the first </w:t>
      </w:r>
      <w:r w:rsidR="0012483E" w:rsidRPr="005F2054">
        <w:rPr>
          <w:rFonts w:ascii="Arial" w:eastAsia="Times New Roman" w:hAnsi="Arial" w:cs="Arial"/>
          <w:color w:val="141413"/>
          <w:lang w:val="en-GB"/>
        </w:rPr>
        <w:t xml:space="preserve">year </w:t>
      </w:r>
      <w:r w:rsidR="0093296F" w:rsidRPr="005F2054">
        <w:rPr>
          <w:rFonts w:ascii="Arial" w:eastAsia="Times New Roman" w:hAnsi="Arial" w:cs="Arial"/>
          <w:color w:val="141413"/>
          <w:lang w:val="en-GB"/>
        </w:rPr>
        <w:t xml:space="preserve">after lung transplantation </w:t>
      </w:r>
      <w:r w:rsidR="0012483E" w:rsidRPr="005F2054">
        <w:rPr>
          <w:rFonts w:ascii="Arial" w:eastAsia="Times New Roman" w:hAnsi="Arial" w:cs="Arial"/>
          <w:color w:val="141413"/>
          <w:lang w:val="en-GB"/>
        </w:rPr>
        <w:t>(</w:t>
      </w:r>
      <w:r w:rsidRPr="00983A3C">
        <w:rPr>
          <w:rFonts w:ascii="Arial" w:eastAsia="Times New Roman" w:hAnsi="Arial" w:cs="Arial"/>
          <w:lang w:val="en-GB"/>
        </w:rPr>
        <w:t>46)</w:t>
      </w:r>
      <w:r w:rsidR="00504435" w:rsidRPr="00983A3C">
        <w:rPr>
          <w:rFonts w:ascii="Arial" w:eastAsia="Times New Roman" w:hAnsi="Arial" w:cs="Arial"/>
          <w:lang w:val="en-GB"/>
        </w:rPr>
        <w:t xml:space="preserve">. </w:t>
      </w:r>
      <w:r w:rsidR="00D73F26" w:rsidRPr="00983A3C">
        <w:rPr>
          <w:rFonts w:ascii="Arial" w:eastAsia="Times New Roman" w:hAnsi="Arial" w:cs="Arial"/>
          <w:lang w:val="en-GB"/>
        </w:rPr>
        <w:t>Fracture</w:t>
      </w:r>
      <w:r w:rsidRPr="00983A3C">
        <w:rPr>
          <w:rFonts w:ascii="Arial" w:eastAsia="Times New Roman" w:hAnsi="Arial" w:cs="Arial"/>
          <w:lang w:val="en-GB"/>
        </w:rPr>
        <w:t xml:space="preserve"> </w:t>
      </w:r>
      <w:r w:rsidR="0093296F" w:rsidRPr="00983A3C">
        <w:rPr>
          <w:rFonts w:ascii="Arial" w:eastAsia="Times New Roman" w:hAnsi="Arial" w:cs="Arial"/>
          <w:lang w:val="en-GB"/>
        </w:rPr>
        <w:t xml:space="preserve">rates </w:t>
      </w:r>
      <w:r w:rsidR="00956C05" w:rsidRPr="00983A3C">
        <w:rPr>
          <w:rFonts w:ascii="Arial" w:eastAsia="Times New Roman" w:hAnsi="Arial" w:cs="Arial"/>
          <w:lang w:val="en-GB"/>
        </w:rPr>
        <w:t>continue</w:t>
      </w:r>
      <w:r w:rsidRPr="00983A3C">
        <w:rPr>
          <w:rFonts w:ascii="Arial" w:eastAsia="Times New Roman" w:hAnsi="Arial" w:cs="Arial"/>
          <w:lang w:val="en-GB"/>
        </w:rPr>
        <w:t xml:space="preserve"> to</w:t>
      </w:r>
      <w:r w:rsidR="0093296F" w:rsidRPr="00983A3C">
        <w:rPr>
          <w:rFonts w:ascii="Arial" w:eastAsia="Times New Roman" w:hAnsi="Arial" w:cs="Arial"/>
          <w:lang w:val="en-GB"/>
        </w:rPr>
        <w:t xml:space="preserve"> rise in some </w:t>
      </w:r>
      <w:r w:rsidR="00D73F26" w:rsidRPr="00983A3C">
        <w:rPr>
          <w:rFonts w:ascii="Arial" w:eastAsia="Times New Roman" w:hAnsi="Arial" w:cs="Arial"/>
          <w:lang w:val="en-GB"/>
        </w:rPr>
        <w:t>cases</w:t>
      </w:r>
      <w:r w:rsidR="0093296F" w:rsidRPr="00983A3C">
        <w:rPr>
          <w:rFonts w:ascii="Arial" w:eastAsia="Times New Roman" w:hAnsi="Arial" w:cs="Arial"/>
          <w:lang w:val="en-GB"/>
        </w:rPr>
        <w:t xml:space="preserve">, with an average prevalence </w:t>
      </w:r>
      <w:r w:rsidR="00D73F26" w:rsidRPr="00983A3C">
        <w:rPr>
          <w:rFonts w:ascii="Arial" w:eastAsia="Times New Roman" w:hAnsi="Arial" w:cs="Arial"/>
          <w:lang w:val="en-GB"/>
        </w:rPr>
        <w:t>of 53</w:t>
      </w:r>
      <w:r w:rsidRPr="00983A3C">
        <w:rPr>
          <w:rFonts w:ascii="Arial" w:eastAsia="Times New Roman" w:hAnsi="Arial" w:cs="Arial"/>
          <w:lang w:val="en-GB"/>
        </w:rPr>
        <w:t xml:space="preserve">% </w:t>
      </w:r>
      <w:r w:rsidR="0093296F" w:rsidRPr="00983A3C">
        <w:rPr>
          <w:rFonts w:ascii="Arial" w:eastAsia="Times New Roman" w:hAnsi="Arial" w:cs="Arial"/>
          <w:lang w:val="en-GB"/>
        </w:rPr>
        <w:t xml:space="preserve">by </w:t>
      </w:r>
      <w:r w:rsidRPr="00983A3C">
        <w:rPr>
          <w:rFonts w:ascii="Arial" w:eastAsia="Times New Roman" w:hAnsi="Arial" w:cs="Arial"/>
          <w:lang w:val="en-GB"/>
        </w:rPr>
        <w:t xml:space="preserve">the </w:t>
      </w:r>
      <w:r w:rsidR="00983A3C" w:rsidRPr="00983A3C">
        <w:rPr>
          <w:rFonts w:ascii="Arial" w:eastAsia="Times New Roman" w:hAnsi="Arial" w:cs="Arial"/>
          <w:lang w:val="en-GB"/>
        </w:rPr>
        <w:t>fifth-year</w:t>
      </w:r>
      <w:r w:rsidR="0012483E" w:rsidRPr="00983A3C">
        <w:rPr>
          <w:rFonts w:ascii="Arial" w:eastAsia="Times New Roman" w:hAnsi="Arial" w:cs="Arial"/>
          <w:lang w:val="en-GB"/>
        </w:rPr>
        <w:t xml:space="preserve"> </w:t>
      </w:r>
      <w:r w:rsidR="0093296F" w:rsidRPr="00983A3C">
        <w:rPr>
          <w:rFonts w:ascii="Arial" w:eastAsia="Times New Roman" w:hAnsi="Arial" w:cs="Arial"/>
          <w:lang w:val="en-GB"/>
        </w:rPr>
        <w:t xml:space="preserve">post-transplant </w:t>
      </w:r>
      <w:r w:rsidR="000D36B9" w:rsidRPr="00983A3C">
        <w:rPr>
          <w:rFonts w:ascii="Arial" w:eastAsia="Times New Roman" w:hAnsi="Arial" w:cs="Arial"/>
          <w:lang w:val="en-GB"/>
        </w:rPr>
        <w:t>(</w:t>
      </w:r>
      <w:r w:rsidR="001C4238" w:rsidRPr="00983A3C">
        <w:rPr>
          <w:rFonts w:ascii="Arial" w:eastAsia="Times New Roman" w:hAnsi="Arial" w:cs="Arial"/>
          <w:lang w:val="en-GB"/>
        </w:rPr>
        <w:t>47)</w:t>
      </w:r>
      <w:r w:rsidRPr="00983A3C">
        <w:rPr>
          <w:rFonts w:ascii="Arial" w:eastAsia="Times New Roman" w:hAnsi="Arial" w:cs="Arial"/>
          <w:lang w:val="en-GB"/>
        </w:rPr>
        <w:t xml:space="preserve">. </w:t>
      </w:r>
      <w:r w:rsidR="0093296F" w:rsidRPr="00983A3C">
        <w:rPr>
          <w:rFonts w:ascii="Arial" w:eastAsia="Times New Roman" w:hAnsi="Arial" w:cs="Arial"/>
          <w:lang w:val="en-GB"/>
        </w:rPr>
        <w:t>L</w:t>
      </w:r>
      <w:r w:rsidR="00BF601F" w:rsidRPr="00983A3C">
        <w:rPr>
          <w:rFonts w:ascii="Arial" w:eastAsia="Times New Roman" w:hAnsi="Arial" w:cs="Arial"/>
          <w:lang w:val="en-GB"/>
        </w:rPr>
        <w:t>ung transplants have</w:t>
      </w:r>
      <w:r w:rsidR="0093296F" w:rsidRPr="00983A3C">
        <w:rPr>
          <w:rFonts w:ascii="Arial" w:eastAsia="Times New Roman" w:hAnsi="Arial" w:cs="Arial"/>
          <w:lang w:val="en-GB"/>
        </w:rPr>
        <w:t xml:space="preserve"> reported the highest </w:t>
      </w:r>
      <w:r w:rsidR="00D73F26" w:rsidRPr="00983A3C">
        <w:rPr>
          <w:rFonts w:ascii="Arial" w:eastAsia="Times New Roman" w:hAnsi="Arial" w:cs="Arial"/>
          <w:lang w:val="en-GB"/>
        </w:rPr>
        <w:t>fr</w:t>
      </w:r>
      <w:r w:rsidR="00D73F26" w:rsidRPr="005F2054">
        <w:rPr>
          <w:rFonts w:ascii="Arial" w:eastAsia="Times New Roman" w:hAnsi="Arial" w:cs="Arial"/>
          <w:color w:val="141413"/>
          <w:lang w:val="en-GB"/>
        </w:rPr>
        <w:t>acture</w:t>
      </w:r>
      <w:r w:rsidR="0093296F" w:rsidRPr="005F2054">
        <w:rPr>
          <w:rFonts w:ascii="Arial" w:eastAsia="Times New Roman" w:hAnsi="Arial" w:cs="Arial"/>
          <w:color w:val="141413"/>
          <w:lang w:val="en-GB"/>
        </w:rPr>
        <w:t xml:space="preserve"> rates, likely due to </w:t>
      </w:r>
      <w:r w:rsidR="00D73F26" w:rsidRPr="005F2054">
        <w:rPr>
          <w:rFonts w:ascii="Arial" w:eastAsia="Times New Roman" w:hAnsi="Arial" w:cs="Arial"/>
          <w:color w:val="141413"/>
          <w:lang w:val="en-GB"/>
        </w:rPr>
        <w:t>prolonged</w:t>
      </w:r>
      <w:r w:rsidR="0093296F" w:rsidRPr="005F2054">
        <w:rPr>
          <w:rFonts w:ascii="Arial" w:eastAsia="Times New Roman" w:hAnsi="Arial" w:cs="Arial"/>
          <w:color w:val="141413"/>
          <w:lang w:val="en-GB"/>
        </w:rPr>
        <w:t xml:space="preserve"> and intensive </w:t>
      </w:r>
      <w:r w:rsidR="00D73F26" w:rsidRPr="005F2054">
        <w:rPr>
          <w:rFonts w:ascii="Arial" w:eastAsia="Times New Roman" w:hAnsi="Arial" w:cs="Arial"/>
          <w:color w:val="141413"/>
          <w:lang w:val="en-GB"/>
        </w:rPr>
        <w:t>immunosuppressive therapy, along with additional life-risk factors. Among lung diseases, patients with COPD are particularly prone to bone loss.</w:t>
      </w:r>
    </w:p>
    <w:p w14:paraId="41CC25E4" w14:textId="77777777" w:rsidR="008238A6" w:rsidRDefault="008238A6" w:rsidP="005F2054">
      <w:pPr>
        <w:spacing w:after="0"/>
        <w:contextualSpacing/>
        <w:rPr>
          <w:rFonts w:ascii="Arial" w:eastAsia="Times New Roman" w:hAnsi="Arial" w:cs="Arial"/>
          <w:color w:val="141413"/>
          <w:lang w:val="en-GB"/>
        </w:rPr>
      </w:pPr>
    </w:p>
    <w:p w14:paraId="5C63225D" w14:textId="77777777" w:rsidR="008238A6" w:rsidRPr="00AC54BD" w:rsidRDefault="008238A6" w:rsidP="008238A6">
      <w:pPr>
        <w:spacing w:after="0"/>
        <w:contextualSpacing/>
        <w:rPr>
          <w:rFonts w:ascii="Arial" w:hAnsi="Arial" w:cs="Arial"/>
          <w:b/>
          <w:bCs/>
          <w:color w:val="0070C0"/>
          <w:shd w:val="clear" w:color="auto" w:fill="FFFFFF"/>
          <w:lang w:val="en-US"/>
        </w:rPr>
      </w:pPr>
      <w:r w:rsidRPr="00AC54BD">
        <w:rPr>
          <w:rFonts w:ascii="Arial" w:hAnsi="Arial" w:cs="Arial"/>
          <w:b/>
          <w:bCs/>
          <w:color w:val="0070C0"/>
          <w:shd w:val="clear" w:color="auto" w:fill="FFFFFF"/>
          <w:lang w:val="en-US"/>
        </w:rPr>
        <w:t>OSTEOPOROSIS AFTER BONE MARROW TRANSPLANTATION</w:t>
      </w:r>
    </w:p>
    <w:p w14:paraId="622A3767" w14:textId="77777777" w:rsidR="008238A6" w:rsidRDefault="008238A6" w:rsidP="008238A6">
      <w:pPr>
        <w:spacing w:after="0"/>
        <w:contextualSpacing/>
        <w:rPr>
          <w:rFonts w:ascii="Arial" w:hAnsi="Arial" w:cs="Arial"/>
          <w:color w:val="212121"/>
          <w:shd w:val="clear" w:color="auto" w:fill="FFFFFF"/>
          <w:lang w:val="en-US"/>
        </w:rPr>
      </w:pPr>
    </w:p>
    <w:p w14:paraId="089C60A9" w14:textId="77777777" w:rsidR="008238A6" w:rsidRDefault="008238A6" w:rsidP="008238A6">
      <w:pPr>
        <w:spacing w:after="0"/>
        <w:contextualSpacing/>
        <w:rPr>
          <w:rFonts w:ascii="Arial" w:hAnsi="Arial" w:cs="Arial"/>
          <w:color w:val="212121"/>
          <w:shd w:val="clear" w:color="auto" w:fill="FFFFFF"/>
          <w:lang w:val="en-US"/>
        </w:rPr>
      </w:pPr>
      <w:r w:rsidRPr="005F2054">
        <w:rPr>
          <w:rFonts w:ascii="Arial" w:hAnsi="Arial" w:cs="Arial"/>
          <w:color w:val="212121"/>
          <w:shd w:val="clear" w:color="auto" w:fill="FFFFFF"/>
          <w:lang w:val="en-US"/>
        </w:rPr>
        <w:t xml:space="preserve">Allogenic or autologous stem cell transplantation is used to treat a variety of hematologic diseases. Advances in histocompatibility testing and improvements in infection control have significantly increased patient survival. Risk factors </w:t>
      </w:r>
      <w:r>
        <w:rPr>
          <w:rFonts w:ascii="Arial" w:hAnsi="Arial" w:cs="Arial"/>
          <w:color w:val="212121"/>
          <w:shd w:val="clear" w:color="auto" w:fill="FFFFFF"/>
          <w:lang w:val="en-US"/>
        </w:rPr>
        <w:t>for osteoporosis</w:t>
      </w:r>
      <w:r w:rsidRPr="005F2054">
        <w:rPr>
          <w:rFonts w:ascii="Arial" w:hAnsi="Arial" w:cs="Arial"/>
          <w:color w:val="212121"/>
          <w:shd w:val="clear" w:color="auto" w:fill="FFFFFF"/>
          <w:lang w:val="en-US"/>
        </w:rPr>
        <w:t xml:space="preserve"> include the underlying disease, comorbidities (such as diabetes and obesity), the use of glucocorticoids, and immunosuppressants.</w:t>
      </w:r>
    </w:p>
    <w:p w14:paraId="7234D8A2" w14:textId="77777777" w:rsidR="008238A6" w:rsidRPr="005F2054" w:rsidRDefault="008238A6" w:rsidP="008238A6">
      <w:pPr>
        <w:spacing w:after="0"/>
        <w:contextualSpacing/>
        <w:rPr>
          <w:rFonts w:ascii="Arial" w:hAnsi="Arial" w:cs="Arial"/>
          <w:color w:val="212121"/>
          <w:shd w:val="clear" w:color="auto" w:fill="FFFFFF"/>
          <w:lang w:val="en-US"/>
        </w:rPr>
      </w:pPr>
    </w:p>
    <w:p w14:paraId="7067A341" w14:textId="77777777" w:rsidR="008238A6" w:rsidRDefault="008238A6" w:rsidP="008238A6">
      <w:pPr>
        <w:spacing w:after="0"/>
        <w:contextualSpacing/>
        <w:rPr>
          <w:rFonts w:ascii="Arial" w:hAnsi="Arial" w:cs="Arial"/>
          <w:color w:val="212121"/>
          <w:spacing w:val="-2"/>
          <w:shd w:val="clear" w:color="auto" w:fill="FFFFFF"/>
          <w:lang w:val="en-US"/>
        </w:rPr>
      </w:pPr>
      <w:r w:rsidRPr="005F2054">
        <w:rPr>
          <w:rFonts w:ascii="Arial" w:hAnsi="Arial" w:cs="Arial"/>
          <w:color w:val="212121"/>
          <w:spacing w:val="-2"/>
          <w:shd w:val="clear" w:color="auto" w:fill="FFFFFF"/>
          <w:lang w:val="en-US"/>
        </w:rPr>
        <w:t xml:space="preserve">The pathogenesis of bone loss in this context is not well understood. It has been postulated that implanted bone marrow stromal cells may have a reduced capacity to develop into osteogenic lineage. Bone loss is most prominent during the 6 to 12 years following transplantation. Osteoporosis has now been recognized as a common condition in these patients, with a reported prevalence of up to 23% within the first-year post-transplant. Therefore, bone marrow-related osteoporosis following stem cell transplantation appears to be less severe compared to that seen in solid organ transplantation. However, there are still relatively few publications addressing this issue. </w:t>
      </w:r>
    </w:p>
    <w:p w14:paraId="70112270" w14:textId="77777777" w:rsidR="008238A6" w:rsidRPr="005F2054" w:rsidRDefault="008238A6" w:rsidP="005F2054">
      <w:pPr>
        <w:spacing w:after="0"/>
        <w:contextualSpacing/>
        <w:rPr>
          <w:rFonts w:ascii="Arial" w:eastAsia="Times New Roman" w:hAnsi="Arial" w:cs="Arial"/>
          <w:color w:val="141413"/>
          <w:lang w:val="en-GB"/>
        </w:rPr>
      </w:pPr>
    </w:p>
    <w:p w14:paraId="6DF4D9AA" w14:textId="5B853ED9" w:rsidR="00D614E2" w:rsidRPr="005F2054" w:rsidRDefault="00222079" w:rsidP="005F2054">
      <w:pPr>
        <w:spacing w:after="0"/>
        <w:contextualSpacing/>
        <w:rPr>
          <w:rFonts w:ascii="Arial" w:hAnsi="Arial" w:cs="Arial"/>
          <w:b/>
          <w:color w:val="1F497D" w:themeColor="text2"/>
          <w:lang w:val="en-GB"/>
        </w:rPr>
      </w:pPr>
      <w:r w:rsidRPr="005F2054">
        <w:rPr>
          <w:rFonts w:ascii="Arial" w:hAnsi="Arial" w:cs="Arial"/>
          <w:b/>
          <w:color w:val="1F497D" w:themeColor="text2"/>
          <w:lang w:val="en-GB"/>
        </w:rPr>
        <w:t>PATHOGENESIS OF OSTEOPOROSIS POST-TRANSPLANTATION</w:t>
      </w:r>
    </w:p>
    <w:p w14:paraId="69167A61" w14:textId="77777777" w:rsidR="00A727B0" w:rsidRDefault="00A727B0" w:rsidP="005F2054">
      <w:pPr>
        <w:spacing w:after="0"/>
        <w:contextualSpacing/>
        <w:rPr>
          <w:rFonts w:ascii="Arial" w:hAnsi="Arial" w:cs="Arial"/>
          <w:lang w:val="en-GB"/>
        </w:rPr>
      </w:pPr>
    </w:p>
    <w:p w14:paraId="2CF437F1" w14:textId="5723F980" w:rsidR="00434BB0" w:rsidRPr="005F2054" w:rsidRDefault="000F16D5" w:rsidP="005F2054">
      <w:pPr>
        <w:spacing w:after="0"/>
        <w:contextualSpacing/>
        <w:rPr>
          <w:rFonts w:ascii="Arial" w:hAnsi="Arial" w:cs="Arial"/>
          <w:lang w:val="en-GB"/>
        </w:rPr>
      </w:pPr>
      <w:r w:rsidRPr="005F2054">
        <w:rPr>
          <w:rFonts w:ascii="Arial" w:hAnsi="Arial" w:cs="Arial"/>
          <w:lang w:val="en-GB"/>
        </w:rPr>
        <w:t xml:space="preserve">Bone loss after solid organ transplantation is </w:t>
      </w:r>
      <w:r w:rsidR="00E73E9F" w:rsidRPr="005F2054">
        <w:rPr>
          <w:rFonts w:ascii="Arial" w:hAnsi="Arial" w:cs="Arial"/>
          <w:lang w:val="en-GB"/>
        </w:rPr>
        <w:t>caused by</w:t>
      </w:r>
      <w:r w:rsidRPr="005F2054">
        <w:rPr>
          <w:rFonts w:ascii="Arial" w:hAnsi="Arial" w:cs="Arial"/>
          <w:lang w:val="en-GB"/>
        </w:rPr>
        <w:t xml:space="preserve"> </w:t>
      </w:r>
      <w:r w:rsidR="00972662">
        <w:rPr>
          <w:rFonts w:ascii="Arial" w:hAnsi="Arial" w:cs="Arial"/>
          <w:lang w:val="en-GB"/>
        </w:rPr>
        <w:t xml:space="preserve">numerous </w:t>
      </w:r>
      <w:r w:rsidR="00E73E9F" w:rsidRPr="005F2054">
        <w:rPr>
          <w:rFonts w:ascii="Arial" w:hAnsi="Arial" w:cs="Arial"/>
          <w:lang w:val="en-GB"/>
        </w:rPr>
        <w:t xml:space="preserve">factors, including </w:t>
      </w:r>
      <w:r w:rsidR="00D614E2" w:rsidRPr="005F2054">
        <w:rPr>
          <w:rFonts w:ascii="Arial" w:hAnsi="Arial" w:cs="Arial"/>
          <w:lang w:val="en-GB"/>
        </w:rPr>
        <w:t>pre-transplant underlying disease</w:t>
      </w:r>
      <w:r w:rsidR="00021420" w:rsidRPr="005F2054">
        <w:rPr>
          <w:rFonts w:ascii="Arial" w:hAnsi="Arial" w:cs="Arial"/>
          <w:lang w:val="en-GB"/>
        </w:rPr>
        <w:t xml:space="preserve">, </w:t>
      </w:r>
      <w:r w:rsidR="00E73E9F" w:rsidRPr="005F2054">
        <w:rPr>
          <w:rFonts w:ascii="Arial" w:hAnsi="Arial" w:cs="Arial"/>
          <w:lang w:val="en-GB"/>
        </w:rPr>
        <w:t xml:space="preserve">individual </w:t>
      </w:r>
      <w:r w:rsidR="00021420" w:rsidRPr="005F2054">
        <w:rPr>
          <w:rFonts w:ascii="Arial" w:hAnsi="Arial" w:cs="Arial"/>
          <w:lang w:val="en-GB"/>
        </w:rPr>
        <w:t>risk factors,</w:t>
      </w:r>
      <w:r w:rsidR="00E73E9F" w:rsidRPr="005F2054">
        <w:rPr>
          <w:rFonts w:ascii="Arial" w:hAnsi="Arial" w:cs="Arial"/>
          <w:lang w:val="en-GB"/>
        </w:rPr>
        <w:t xml:space="preserve"> and the use of </w:t>
      </w:r>
      <w:r w:rsidR="00021420" w:rsidRPr="005F2054">
        <w:rPr>
          <w:rFonts w:ascii="Arial" w:hAnsi="Arial" w:cs="Arial"/>
          <w:lang w:val="en-GB"/>
        </w:rPr>
        <w:t xml:space="preserve">glucocorticoids and </w:t>
      </w:r>
      <w:r w:rsidR="008E7B98" w:rsidRPr="005F2054">
        <w:rPr>
          <w:rFonts w:ascii="Arial" w:hAnsi="Arial" w:cs="Arial"/>
          <w:lang w:val="en-GB"/>
        </w:rPr>
        <w:t>i</w:t>
      </w:r>
      <w:r w:rsidR="00D614E2" w:rsidRPr="005F2054">
        <w:rPr>
          <w:rFonts w:ascii="Arial" w:hAnsi="Arial" w:cs="Arial"/>
          <w:lang w:val="en-GB"/>
        </w:rPr>
        <w:t xml:space="preserve">mmunosuppressor </w:t>
      </w:r>
      <w:r w:rsidR="00021420" w:rsidRPr="005F2054">
        <w:rPr>
          <w:rFonts w:ascii="Arial" w:hAnsi="Arial" w:cs="Arial"/>
          <w:lang w:val="en-GB"/>
        </w:rPr>
        <w:t>drugs</w:t>
      </w:r>
      <w:r w:rsidR="00E73E9F" w:rsidRPr="005F2054">
        <w:rPr>
          <w:rFonts w:ascii="Arial" w:hAnsi="Arial" w:cs="Arial"/>
          <w:lang w:val="en-GB"/>
        </w:rPr>
        <w:t xml:space="preserve">. Additional contributors include </w:t>
      </w:r>
      <w:r w:rsidR="00D614E2" w:rsidRPr="005F2054">
        <w:rPr>
          <w:rFonts w:ascii="Arial" w:hAnsi="Arial" w:cs="Arial"/>
          <w:lang w:val="en-GB"/>
        </w:rPr>
        <w:t>age, limited mobility, smoking</w:t>
      </w:r>
      <w:r w:rsidR="003E5802" w:rsidRPr="005F2054">
        <w:rPr>
          <w:rFonts w:ascii="Arial" w:hAnsi="Arial" w:cs="Arial"/>
          <w:lang w:val="en-GB"/>
        </w:rPr>
        <w:t>,</w:t>
      </w:r>
      <w:r w:rsidR="00D614E2" w:rsidRPr="005F2054">
        <w:rPr>
          <w:rFonts w:ascii="Arial" w:hAnsi="Arial" w:cs="Arial"/>
          <w:lang w:val="en-GB"/>
        </w:rPr>
        <w:t xml:space="preserve"> excessive alcohol consumption, and </w:t>
      </w:r>
      <w:r w:rsidR="00021420" w:rsidRPr="005F2054">
        <w:rPr>
          <w:rFonts w:ascii="Arial" w:hAnsi="Arial" w:cs="Arial"/>
          <w:lang w:val="en-GB"/>
        </w:rPr>
        <w:t>lifestyle</w:t>
      </w:r>
      <w:r w:rsidR="00D614E2" w:rsidRPr="005F2054">
        <w:rPr>
          <w:rFonts w:ascii="Arial" w:hAnsi="Arial" w:cs="Arial"/>
          <w:lang w:val="en-GB"/>
        </w:rPr>
        <w:t xml:space="preserve"> habits</w:t>
      </w:r>
      <w:r w:rsidR="009E0FC5" w:rsidRPr="005F2054">
        <w:rPr>
          <w:rFonts w:ascii="Arial" w:hAnsi="Arial" w:cs="Arial"/>
          <w:lang w:val="en-GB"/>
        </w:rPr>
        <w:t>.</w:t>
      </w:r>
    </w:p>
    <w:p w14:paraId="2E0663CC" w14:textId="77777777" w:rsidR="00A72C32" w:rsidRPr="005F2054" w:rsidRDefault="00A72C32" w:rsidP="005F2054">
      <w:pPr>
        <w:spacing w:after="0"/>
        <w:contextualSpacing/>
        <w:rPr>
          <w:rFonts w:ascii="Arial" w:hAnsi="Arial" w:cs="Arial"/>
          <w:b/>
          <w:color w:val="C00000"/>
          <w:lang w:val="en-GB"/>
        </w:rPr>
      </w:pPr>
    </w:p>
    <w:p w14:paraId="5D4AE8DD" w14:textId="77777777" w:rsidR="00C3240C" w:rsidRPr="00C3240C" w:rsidRDefault="00E665B9" w:rsidP="005F2054">
      <w:pPr>
        <w:spacing w:after="0"/>
        <w:contextualSpacing/>
        <w:rPr>
          <w:rFonts w:ascii="Arial" w:hAnsi="Arial" w:cs="Arial"/>
          <w:b/>
          <w:color w:val="00B050"/>
          <w:lang w:val="en-GB"/>
        </w:rPr>
      </w:pPr>
      <w:r w:rsidRPr="00C3240C">
        <w:rPr>
          <w:rFonts w:ascii="Arial" w:hAnsi="Arial" w:cs="Arial"/>
          <w:b/>
          <w:color w:val="00B050"/>
          <w:lang w:val="en-GB"/>
        </w:rPr>
        <w:t>G</w:t>
      </w:r>
      <w:r w:rsidR="00A727B0" w:rsidRPr="00C3240C">
        <w:rPr>
          <w:rFonts w:ascii="Arial" w:hAnsi="Arial" w:cs="Arial"/>
          <w:b/>
          <w:color w:val="00B050"/>
          <w:lang w:val="en-GB"/>
        </w:rPr>
        <w:t xml:space="preserve">lucocorticoids </w:t>
      </w:r>
    </w:p>
    <w:p w14:paraId="7761471B" w14:textId="77777777" w:rsidR="00C3240C" w:rsidRDefault="00C3240C" w:rsidP="005F2054">
      <w:pPr>
        <w:spacing w:after="0"/>
        <w:contextualSpacing/>
        <w:rPr>
          <w:rFonts w:ascii="Arial" w:hAnsi="Arial" w:cs="Arial"/>
          <w:b/>
          <w:color w:val="C00000"/>
          <w:lang w:val="en-GB"/>
        </w:rPr>
      </w:pPr>
    </w:p>
    <w:p w14:paraId="04165892" w14:textId="5BA7F19A" w:rsidR="00A546F5" w:rsidRDefault="00A24771" w:rsidP="005F2054">
      <w:pPr>
        <w:spacing w:after="0"/>
        <w:contextualSpacing/>
        <w:rPr>
          <w:rFonts w:ascii="Arial" w:hAnsi="Arial" w:cs="Arial"/>
          <w:lang w:val="en-GB"/>
        </w:rPr>
      </w:pPr>
      <w:r w:rsidRPr="005F2054">
        <w:rPr>
          <w:rFonts w:ascii="Arial" w:hAnsi="Arial" w:cs="Arial"/>
          <w:lang w:val="en-GB"/>
        </w:rPr>
        <w:t>G</w:t>
      </w:r>
      <w:r w:rsidR="007B7B44" w:rsidRPr="005F2054">
        <w:rPr>
          <w:rFonts w:ascii="Arial" w:hAnsi="Arial" w:cs="Arial"/>
          <w:lang w:val="en-GB"/>
        </w:rPr>
        <w:t>lucocorticoids are</w:t>
      </w:r>
      <w:r w:rsidR="00D80E1E" w:rsidRPr="005F2054">
        <w:rPr>
          <w:rFonts w:ascii="Arial" w:hAnsi="Arial" w:cs="Arial"/>
          <w:lang w:val="en-GB"/>
        </w:rPr>
        <w:t xml:space="preserve"> essential</w:t>
      </w:r>
      <w:r w:rsidR="007B7B44" w:rsidRPr="005F2054">
        <w:rPr>
          <w:rFonts w:ascii="Arial" w:hAnsi="Arial" w:cs="Arial"/>
          <w:lang w:val="en-GB"/>
        </w:rPr>
        <w:t xml:space="preserve"> for </w:t>
      </w:r>
      <w:r w:rsidR="00D80E1E" w:rsidRPr="005F2054">
        <w:rPr>
          <w:rFonts w:ascii="Arial" w:hAnsi="Arial" w:cs="Arial"/>
          <w:lang w:val="en-GB"/>
        </w:rPr>
        <w:t xml:space="preserve">managing rejection </w:t>
      </w:r>
      <w:r w:rsidR="007B7B44" w:rsidRPr="005F2054">
        <w:rPr>
          <w:rFonts w:ascii="Arial" w:hAnsi="Arial" w:cs="Arial"/>
          <w:lang w:val="en-GB"/>
        </w:rPr>
        <w:t xml:space="preserve">episodes. They are </w:t>
      </w:r>
      <w:r w:rsidR="00885D9C" w:rsidRPr="005F2054">
        <w:rPr>
          <w:rFonts w:ascii="Arial" w:hAnsi="Arial" w:cs="Arial"/>
          <w:lang w:val="en-GB"/>
        </w:rPr>
        <w:t xml:space="preserve">typically administered </w:t>
      </w:r>
      <w:r w:rsidR="007B7B44" w:rsidRPr="005F2054">
        <w:rPr>
          <w:rFonts w:ascii="Arial" w:hAnsi="Arial" w:cs="Arial"/>
          <w:lang w:val="en-GB"/>
        </w:rPr>
        <w:t>at high doses initially and then gradually reduced</w:t>
      </w:r>
      <w:r w:rsidR="00885D9C" w:rsidRPr="005F2054">
        <w:rPr>
          <w:rFonts w:ascii="Arial" w:hAnsi="Arial" w:cs="Arial"/>
          <w:lang w:val="en-GB"/>
        </w:rPr>
        <w:t xml:space="preserve">. However, </w:t>
      </w:r>
      <w:r w:rsidR="007B7B44" w:rsidRPr="005F2054">
        <w:rPr>
          <w:rFonts w:ascii="Arial" w:hAnsi="Arial" w:cs="Arial"/>
          <w:lang w:val="en-GB"/>
        </w:rPr>
        <w:t xml:space="preserve">if rejection </w:t>
      </w:r>
      <w:r w:rsidR="00885D9C" w:rsidRPr="005F2054">
        <w:rPr>
          <w:rFonts w:ascii="Arial" w:hAnsi="Arial" w:cs="Arial"/>
          <w:lang w:val="en-GB"/>
        </w:rPr>
        <w:t xml:space="preserve">occurs, the dosage is increased. Recent protocols have aimed to minimize glucocorticoid doses to reduce side effects. </w:t>
      </w:r>
      <w:r w:rsidR="00D214F8" w:rsidRPr="005F2054">
        <w:rPr>
          <w:rFonts w:ascii="Arial" w:hAnsi="Arial" w:cs="Arial"/>
          <w:lang w:val="en-GB"/>
        </w:rPr>
        <w:t>H</w:t>
      </w:r>
      <w:r w:rsidR="00EC5F6C" w:rsidRPr="005F2054">
        <w:rPr>
          <w:rFonts w:ascii="Arial" w:hAnsi="Arial" w:cs="Arial"/>
          <w:lang w:val="en-GB"/>
        </w:rPr>
        <w:t xml:space="preserve">igh doses of glucocorticoids </w:t>
      </w:r>
      <w:r w:rsidR="007F3152" w:rsidRPr="005F2054">
        <w:rPr>
          <w:rFonts w:ascii="Arial" w:hAnsi="Arial" w:cs="Arial"/>
          <w:lang w:val="en-GB"/>
        </w:rPr>
        <w:t xml:space="preserve">play a </w:t>
      </w:r>
      <w:r w:rsidR="00D214F8" w:rsidRPr="005F2054">
        <w:rPr>
          <w:rFonts w:ascii="Arial" w:hAnsi="Arial" w:cs="Arial"/>
          <w:lang w:val="en-GB"/>
        </w:rPr>
        <w:t xml:space="preserve">significant </w:t>
      </w:r>
      <w:r w:rsidR="007F3152" w:rsidRPr="005F2054">
        <w:rPr>
          <w:rFonts w:ascii="Arial" w:hAnsi="Arial" w:cs="Arial"/>
          <w:lang w:val="en-GB"/>
        </w:rPr>
        <w:t xml:space="preserve">role </w:t>
      </w:r>
      <w:r w:rsidR="001A1CA0" w:rsidRPr="005F2054">
        <w:rPr>
          <w:rFonts w:ascii="Arial" w:hAnsi="Arial" w:cs="Arial"/>
          <w:lang w:val="en-GB"/>
        </w:rPr>
        <w:t>in bone loss</w:t>
      </w:r>
      <w:r w:rsidR="007F3152" w:rsidRPr="005F2054">
        <w:rPr>
          <w:rFonts w:ascii="Arial" w:hAnsi="Arial" w:cs="Arial"/>
          <w:lang w:val="en-GB"/>
        </w:rPr>
        <w:t xml:space="preserve">. </w:t>
      </w:r>
      <w:r w:rsidR="00EC5F6C" w:rsidRPr="005F2054">
        <w:rPr>
          <w:rFonts w:ascii="Arial" w:hAnsi="Arial" w:cs="Arial"/>
          <w:lang w:val="en-GB"/>
        </w:rPr>
        <w:t xml:space="preserve">However, it has been shown that </w:t>
      </w:r>
      <w:r w:rsidR="00CC1519" w:rsidRPr="005F2054">
        <w:rPr>
          <w:rFonts w:ascii="Arial" w:hAnsi="Arial" w:cs="Arial"/>
          <w:lang w:val="en-GB"/>
        </w:rPr>
        <w:t xml:space="preserve">even </w:t>
      </w:r>
      <w:r w:rsidR="00EC5F6C" w:rsidRPr="005F2054">
        <w:rPr>
          <w:rFonts w:ascii="Arial" w:hAnsi="Arial" w:cs="Arial"/>
          <w:lang w:val="en-GB"/>
        </w:rPr>
        <w:t>small doses of glucocorti</w:t>
      </w:r>
      <w:r w:rsidR="00F67A68" w:rsidRPr="005F2054">
        <w:rPr>
          <w:rFonts w:ascii="Arial" w:hAnsi="Arial" w:cs="Arial"/>
          <w:lang w:val="en-GB"/>
        </w:rPr>
        <w:t>c</w:t>
      </w:r>
      <w:r w:rsidR="00EC5F6C" w:rsidRPr="005F2054">
        <w:rPr>
          <w:rFonts w:ascii="Arial" w:hAnsi="Arial" w:cs="Arial"/>
          <w:lang w:val="en-GB"/>
        </w:rPr>
        <w:t>oids are</w:t>
      </w:r>
      <w:r w:rsidR="00D214F8" w:rsidRPr="005F2054">
        <w:rPr>
          <w:rFonts w:ascii="Arial" w:hAnsi="Arial" w:cs="Arial"/>
          <w:lang w:val="en-GB"/>
        </w:rPr>
        <w:t xml:space="preserve"> associated with an increased fracture </w:t>
      </w:r>
      <w:r w:rsidR="00D214F8" w:rsidRPr="00C3240C">
        <w:rPr>
          <w:rFonts w:ascii="Arial" w:hAnsi="Arial" w:cs="Arial"/>
          <w:lang w:val="en-GB"/>
        </w:rPr>
        <w:t xml:space="preserve">risk </w:t>
      </w:r>
      <w:r w:rsidR="005148AA" w:rsidRPr="00C3240C">
        <w:rPr>
          <w:rFonts w:ascii="Arial" w:hAnsi="Arial" w:cs="Arial"/>
          <w:lang w:val="en-GB"/>
        </w:rPr>
        <w:t>(</w:t>
      </w:r>
      <w:r w:rsidR="004B0ACA" w:rsidRPr="00C3240C">
        <w:rPr>
          <w:rFonts w:ascii="Arial" w:hAnsi="Arial" w:cs="Arial"/>
          <w:lang w:val="en-GB"/>
        </w:rPr>
        <w:t>48</w:t>
      </w:r>
      <w:r w:rsidR="00EC5F6C" w:rsidRPr="00C3240C">
        <w:rPr>
          <w:rFonts w:ascii="Arial" w:hAnsi="Arial" w:cs="Arial"/>
          <w:lang w:val="en-GB"/>
        </w:rPr>
        <w:t xml:space="preserve">). </w:t>
      </w:r>
      <w:r w:rsidR="00C14EC2" w:rsidRPr="00C14EC2">
        <w:rPr>
          <w:rFonts w:ascii="Arial" w:hAnsi="Arial" w:cs="Arial"/>
          <w:lang w:val="en-GB"/>
        </w:rPr>
        <w:t>The potential impact of glucocorticoid dose on bone loss is supported by the evidence showing no significant bone loss at the lumbar spine and proximal femur in renal transplant patients treated with low doses of steroids and tacrolimus. Additionally, studies have reported that steroid withdrawal in liver transplant patients accelerates lumbar spine bone density recovery without compromising graft tolerance (5,54).</w:t>
      </w:r>
    </w:p>
    <w:p w14:paraId="7525B5E1" w14:textId="77777777" w:rsidR="00A546F5" w:rsidRDefault="00A546F5" w:rsidP="005F2054">
      <w:pPr>
        <w:spacing w:after="0"/>
        <w:contextualSpacing/>
        <w:rPr>
          <w:rFonts w:ascii="Arial" w:hAnsi="Arial" w:cs="Arial"/>
          <w:lang w:val="en-GB"/>
        </w:rPr>
      </w:pPr>
    </w:p>
    <w:p w14:paraId="3012EF9E" w14:textId="68508C5D" w:rsidR="007B7B44" w:rsidRDefault="007F3152" w:rsidP="005F2054">
      <w:pPr>
        <w:spacing w:after="0"/>
        <w:contextualSpacing/>
        <w:rPr>
          <w:rFonts w:ascii="Arial" w:hAnsi="Arial" w:cs="Arial"/>
          <w:lang w:val="en-GB"/>
        </w:rPr>
      </w:pPr>
      <w:r w:rsidRPr="00C3240C">
        <w:rPr>
          <w:rFonts w:ascii="Arial" w:hAnsi="Arial" w:cs="Arial"/>
          <w:lang w:val="en-GB"/>
        </w:rPr>
        <w:lastRenderedPageBreak/>
        <w:t xml:space="preserve">The </w:t>
      </w:r>
      <w:r w:rsidRPr="005F2054">
        <w:rPr>
          <w:rFonts w:ascii="Arial" w:hAnsi="Arial" w:cs="Arial"/>
          <w:lang w:val="en-GB"/>
        </w:rPr>
        <w:t>mechanism</w:t>
      </w:r>
      <w:r w:rsidR="00F67A68" w:rsidRPr="005F2054">
        <w:rPr>
          <w:rFonts w:ascii="Arial" w:hAnsi="Arial" w:cs="Arial"/>
          <w:lang w:val="en-GB"/>
        </w:rPr>
        <w:t>s</w:t>
      </w:r>
      <w:r w:rsidRPr="005F2054">
        <w:rPr>
          <w:rFonts w:ascii="Arial" w:hAnsi="Arial" w:cs="Arial"/>
          <w:lang w:val="en-GB"/>
        </w:rPr>
        <w:t xml:space="preserve"> </w:t>
      </w:r>
      <w:r w:rsidR="00452198" w:rsidRPr="005F2054">
        <w:rPr>
          <w:rFonts w:ascii="Arial" w:hAnsi="Arial" w:cs="Arial"/>
          <w:lang w:val="en-GB"/>
        </w:rPr>
        <w:t xml:space="preserve">contributing to </w:t>
      </w:r>
      <w:r w:rsidRPr="005F2054">
        <w:rPr>
          <w:rFonts w:ascii="Arial" w:hAnsi="Arial" w:cs="Arial"/>
          <w:lang w:val="en-GB"/>
        </w:rPr>
        <w:t>glucocorticoid</w:t>
      </w:r>
      <w:r w:rsidR="00452198" w:rsidRPr="005F2054">
        <w:rPr>
          <w:rFonts w:ascii="Arial" w:hAnsi="Arial" w:cs="Arial"/>
          <w:lang w:val="en-GB"/>
        </w:rPr>
        <w:t xml:space="preserve">-induced bone loss are </w:t>
      </w:r>
      <w:r w:rsidR="00C53260">
        <w:rPr>
          <w:rFonts w:ascii="Arial" w:hAnsi="Arial" w:cs="Arial"/>
          <w:lang w:val="en-GB"/>
        </w:rPr>
        <w:t>discussed in the Endotext chapter entitled “</w:t>
      </w:r>
      <w:r w:rsidR="00F51EF8" w:rsidRPr="00F51EF8">
        <w:rPr>
          <w:rFonts w:ascii="Arial" w:hAnsi="Arial" w:cs="Arial"/>
          <w:lang w:val="en-GB"/>
        </w:rPr>
        <w:t>An Overview of Glucocorticoid-Induced Osteoporosis</w:t>
      </w:r>
      <w:r w:rsidR="00A85E56">
        <w:rPr>
          <w:rFonts w:ascii="Arial" w:hAnsi="Arial" w:cs="Arial"/>
          <w:lang w:val="en-GB"/>
        </w:rPr>
        <w:t>” in</w:t>
      </w:r>
      <w:r w:rsidR="00452198" w:rsidRPr="005F2054">
        <w:rPr>
          <w:rFonts w:ascii="Arial" w:hAnsi="Arial" w:cs="Arial"/>
          <w:lang w:val="en-GB"/>
        </w:rPr>
        <w:t xml:space="preserve"> the Bone Mineral section. </w:t>
      </w:r>
    </w:p>
    <w:p w14:paraId="3B950676" w14:textId="77777777" w:rsidR="00C3240C" w:rsidRPr="005F2054" w:rsidRDefault="00C3240C" w:rsidP="005F2054">
      <w:pPr>
        <w:spacing w:after="0"/>
        <w:contextualSpacing/>
        <w:rPr>
          <w:rFonts w:ascii="Arial" w:hAnsi="Arial" w:cs="Arial"/>
          <w:lang w:val="en-GB"/>
        </w:rPr>
      </w:pPr>
    </w:p>
    <w:p w14:paraId="521AB4E6" w14:textId="40285F28" w:rsidR="00BA5032" w:rsidRPr="005F2054" w:rsidRDefault="007E4CA2" w:rsidP="005F2054">
      <w:pPr>
        <w:spacing w:after="0"/>
        <w:rPr>
          <w:rFonts w:ascii="Arial" w:hAnsi="Arial" w:cs="Arial"/>
          <w:lang w:val="en-GB"/>
        </w:rPr>
      </w:pPr>
      <w:r w:rsidRPr="00404975">
        <w:rPr>
          <w:rFonts w:ascii="Arial" w:hAnsi="Arial" w:cs="Arial"/>
          <w:color w:val="FF0000"/>
          <w:lang w:val="en-GB"/>
        </w:rPr>
        <w:t>D</w:t>
      </w:r>
      <w:r w:rsidR="00C65B07" w:rsidRPr="00404975">
        <w:rPr>
          <w:rFonts w:ascii="Arial" w:hAnsi="Arial" w:cs="Arial"/>
          <w:color w:val="FF0000"/>
          <w:lang w:val="en-GB"/>
        </w:rPr>
        <w:t>IRECT EFFECTS OF GLUCOCORTICOIDS ON OSTEOBLASTS AND OSTEOCYTES</w:t>
      </w:r>
    </w:p>
    <w:p w14:paraId="0C6DCDF3" w14:textId="77777777" w:rsidR="00C75086" w:rsidRDefault="00C75086" w:rsidP="005F2054">
      <w:pPr>
        <w:pStyle w:val="ListParagraph"/>
        <w:spacing w:after="0"/>
        <w:ind w:left="0"/>
        <w:rPr>
          <w:rFonts w:ascii="Arial" w:hAnsi="Arial" w:cs="Arial"/>
          <w:lang w:val="en-GB"/>
        </w:rPr>
      </w:pPr>
    </w:p>
    <w:p w14:paraId="7AAD1AA0" w14:textId="5DE745CE" w:rsidR="000232CC" w:rsidRDefault="00BA5032" w:rsidP="005F2054">
      <w:pPr>
        <w:pStyle w:val="ListParagraph"/>
        <w:spacing w:after="0"/>
        <w:ind w:left="0"/>
        <w:rPr>
          <w:rFonts w:ascii="Arial" w:hAnsi="Arial" w:cs="Arial"/>
          <w:lang w:val="en-GB"/>
        </w:rPr>
      </w:pPr>
      <w:r w:rsidRPr="005F2054">
        <w:rPr>
          <w:rFonts w:ascii="Arial" w:hAnsi="Arial" w:cs="Arial"/>
          <w:lang w:val="en-GB"/>
        </w:rPr>
        <w:t xml:space="preserve">Glucocorticoids inhibit bone </w:t>
      </w:r>
      <w:r w:rsidR="006B6B1A" w:rsidRPr="005F2054">
        <w:rPr>
          <w:rFonts w:ascii="Arial" w:hAnsi="Arial" w:cs="Arial"/>
          <w:lang w:val="en-GB"/>
        </w:rPr>
        <w:t xml:space="preserve">formation </w:t>
      </w:r>
      <w:r w:rsidRPr="005F2054">
        <w:rPr>
          <w:rFonts w:ascii="Arial" w:hAnsi="Arial" w:cs="Arial"/>
          <w:lang w:val="en-GB"/>
        </w:rPr>
        <w:t xml:space="preserve">by impairing the </w:t>
      </w:r>
      <w:r w:rsidR="006B6B1A" w:rsidRPr="005F2054">
        <w:rPr>
          <w:rFonts w:ascii="Arial" w:hAnsi="Arial" w:cs="Arial"/>
          <w:lang w:val="en-GB"/>
        </w:rPr>
        <w:t>proliferatio</w:t>
      </w:r>
      <w:r w:rsidR="000232CC" w:rsidRPr="005F2054">
        <w:rPr>
          <w:rFonts w:ascii="Arial" w:hAnsi="Arial" w:cs="Arial"/>
          <w:lang w:val="en-GB"/>
        </w:rPr>
        <w:t>n an</w:t>
      </w:r>
      <w:r w:rsidR="006B6B1A" w:rsidRPr="005F2054">
        <w:rPr>
          <w:rFonts w:ascii="Arial" w:hAnsi="Arial" w:cs="Arial"/>
          <w:lang w:val="en-GB"/>
        </w:rPr>
        <w:t>d differentiation of osteoblasts</w:t>
      </w:r>
      <w:r w:rsidR="000232CC" w:rsidRPr="005F2054">
        <w:rPr>
          <w:rFonts w:ascii="Arial" w:hAnsi="Arial" w:cs="Arial"/>
          <w:lang w:val="en-GB"/>
        </w:rPr>
        <w:t xml:space="preserve">, </w:t>
      </w:r>
      <w:r w:rsidRPr="005F2054">
        <w:rPr>
          <w:rFonts w:ascii="Arial" w:hAnsi="Arial" w:cs="Arial"/>
          <w:lang w:val="en-GB"/>
        </w:rPr>
        <w:t xml:space="preserve">as well as reducing their lifespan </w:t>
      </w:r>
      <w:r w:rsidR="000232CC" w:rsidRPr="005F2054">
        <w:rPr>
          <w:rFonts w:ascii="Arial" w:hAnsi="Arial" w:cs="Arial"/>
          <w:lang w:val="en-GB"/>
        </w:rPr>
        <w:t>(49,50</w:t>
      </w:r>
      <w:r w:rsidRPr="005F2054">
        <w:rPr>
          <w:rFonts w:ascii="Arial" w:hAnsi="Arial" w:cs="Arial"/>
          <w:lang w:val="en-GB"/>
        </w:rPr>
        <w:t xml:space="preserve">, </w:t>
      </w:r>
      <w:r w:rsidR="0011354D" w:rsidRPr="005F2054">
        <w:rPr>
          <w:rFonts w:ascii="Arial" w:hAnsi="Arial" w:cs="Arial"/>
          <w:lang w:val="en-GB"/>
        </w:rPr>
        <w:t>51</w:t>
      </w:r>
      <w:r w:rsidRPr="005F2054">
        <w:rPr>
          <w:rFonts w:ascii="Arial" w:hAnsi="Arial" w:cs="Arial"/>
          <w:lang w:val="en-GB"/>
        </w:rPr>
        <w:t xml:space="preserve">). This occurs through the inhibition of the </w:t>
      </w:r>
      <w:r w:rsidR="000232CC" w:rsidRPr="005F2054">
        <w:rPr>
          <w:rFonts w:ascii="Arial" w:hAnsi="Arial" w:cs="Arial"/>
          <w:lang w:val="en-GB"/>
        </w:rPr>
        <w:t xml:space="preserve">canonical </w:t>
      </w:r>
      <w:proofErr w:type="spellStart"/>
      <w:r w:rsidR="000232CC" w:rsidRPr="005F2054">
        <w:rPr>
          <w:rFonts w:ascii="Arial" w:hAnsi="Arial" w:cs="Arial"/>
          <w:lang w:val="en-GB"/>
        </w:rPr>
        <w:t>Wnt</w:t>
      </w:r>
      <w:proofErr w:type="spellEnd"/>
      <w:r w:rsidR="000232CC" w:rsidRPr="005F2054">
        <w:rPr>
          <w:rFonts w:ascii="Arial" w:hAnsi="Arial" w:cs="Arial"/>
          <w:lang w:val="en-GB"/>
        </w:rPr>
        <w:t xml:space="preserve">/B </w:t>
      </w:r>
      <w:proofErr w:type="spellStart"/>
      <w:r w:rsidR="000232CC" w:rsidRPr="005F2054">
        <w:rPr>
          <w:rFonts w:ascii="Arial" w:hAnsi="Arial" w:cs="Arial"/>
          <w:lang w:val="en-GB"/>
        </w:rPr>
        <w:t>catening</w:t>
      </w:r>
      <w:proofErr w:type="spellEnd"/>
      <w:r w:rsidR="000232CC" w:rsidRPr="005F2054">
        <w:rPr>
          <w:rFonts w:ascii="Arial" w:hAnsi="Arial" w:cs="Arial"/>
          <w:lang w:val="en-GB"/>
        </w:rPr>
        <w:t xml:space="preserve"> </w:t>
      </w:r>
      <w:r w:rsidR="007C102F" w:rsidRPr="005F2054">
        <w:rPr>
          <w:rFonts w:ascii="Arial" w:hAnsi="Arial" w:cs="Arial"/>
          <w:lang w:val="en-GB"/>
        </w:rPr>
        <w:t xml:space="preserve">pathway, and </w:t>
      </w:r>
      <w:r w:rsidRPr="005F2054">
        <w:rPr>
          <w:rFonts w:ascii="Arial" w:hAnsi="Arial" w:cs="Arial"/>
          <w:lang w:val="en-GB"/>
        </w:rPr>
        <w:t>the upregulation of s</w:t>
      </w:r>
      <w:r w:rsidR="000232CC" w:rsidRPr="005F2054">
        <w:rPr>
          <w:rFonts w:ascii="Arial" w:hAnsi="Arial" w:cs="Arial"/>
          <w:lang w:val="en-GB"/>
        </w:rPr>
        <w:t xml:space="preserve">clerostin </w:t>
      </w:r>
      <w:r w:rsidRPr="005F2054">
        <w:rPr>
          <w:rFonts w:ascii="Arial" w:hAnsi="Arial" w:cs="Arial"/>
          <w:lang w:val="en-GB"/>
        </w:rPr>
        <w:t>a</w:t>
      </w:r>
      <w:r w:rsidR="000232CC" w:rsidRPr="005F2054">
        <w:rPr>
          <w:rFonts w:ascii="Arial" w:hAnsi="Arial" w:cs="Arial"/>
          <w:lang w:val="en-GB"/>
        </w:rPr>
        <w:t xml:space="preserve">nd other peptides, </w:t>
      </w:r>
      <w:r w:rsidRPr="005F2054">
        <w:rPr>
          <w:rFonts w:ascii="Arial" w:hAnsi="Arial" w:cs="Arial"/>
          <w:lang w:val="en-GB"/>
        </w:rPr>
        <w:t xml:space="preserve">which further suppress osteoblast formation. </w:t>
      </w:r>
    </w:p>
    <w:p w14:paraId="2112375C" w14:textId="77777777" w:rsidR="00404975" w:rsidRPr="005F2054" w:rsidRDefault="00404975" w:rsidP="005F2054">
      <w:pPr>
        <w:pStyle w:val="ListParagraph"/>
        <w:spacing w:after="0"/>
        <w:ind w:left="0"/>
        <w:rPr>
          <w:rFonts w:ascii="Arial" w:hAnsi="Arial" w:cs="Arial"/>
          <w:lang w:val="en-GB"/>
        </w:rPr>
      </w:pPr>
    </w:p>
    <w:p w14:paraId="5BF91833" w14:textId="1ECE65C2" w:rsidR="00404975" w:rsidRPr="00F44D1E" w:rsidRDefault="00892261" w:rsidP="005F2054">
      <w:pPr>
        <w:pStyle w:val="ListParagraph"/>
        <w:spacing w:after="0"/>
        <w:ind w:left="0"/>
        <w:rPr>
          <w:rFonts w:ascii="Arial" w:hAnsi="Arial" w:cs="Arial"/>
          <w:color w:val="FF0000"/>
          <w:lang w:val="en-GB"/>
        </w:rPr>
      </w:pPr>
      <w:r w:rsidRPr="00F44D1E">
        <w:rPr>
          <w:rFonts w:ascii="Arial" w:hAnsi="Arial" w:cs="Arial"/>
          <w:color w:val="FF0000"/>
          <w:lang w:val="en-GB"/>
        </w:rPr>
        <w:t>D</w:t>
      </w:r>
      <w:r w:rsidR="00616CAC" w:rsidRPr="00F44D1E">
        <w:rPr>
          <w:rFonts w:ascii="Arial" w:hAnsi="Arial" w:cs="Arial"/>
          <w:color w:val="FF0000"/>
          <w:lang w:val="en-GB"/>
        </w:rPr>
        <w:t xml:space="preserve">IRECT EFFECT OF GLUCOCORTICOIDS ON </w:t>
      </w:r>
      <w:r w:rsidR="00F44D1E" w:rsidRPr="00F44D1E">
        <w:rPr>
          <w:rFonts w:ascii="Arial" w:hAnsi="Arial" w:cs="Arial"/>
          <w:color w:val="FF0000"/>
          <w:lang w:val="en-GB"/>
        </w:rPr>
        <w:t xml:space="preserve">OSTEOCLASTS </w:t>
      </w:r>
      <w:r w:rsidRPr="00F44D1E">
        <w:rPr>
          <w:rFonts w:ascii="Arial" w:hAnsi="Arial" w:cs="Arial"/>
          <w:color w:val="FF0000"/>
          <w:lang w:val="en-GB"/>
        </w:rPr>
        <w:t xml:space="preserve"> </w:t>
      </w:r>
    </w:p>
    <w:p w14:paraId="38234941" w14:textId="77777777" w:rsidR="00616CAC" w:rsidRPr="00F44D1E" w:rsidRDefault="00616CAC" w:rsidP="005F2054">
      <w:pPr>
        <w:pStyle w:val="ListParagraph"/>
        <w:spacing w:after="0"/>
        <w:ind w:left="0"/>
        <w:rPr>
          <w:rFonts w:ascii="Arial" w:hAnsi="Arial" w:cs="Arial"/>
          <w:color w:val="FF0000"/>
          <w:lang w:val="en-GB"/>
        </w:rPr>
      </w:pPr>
    </w:p>
    <w:p w14:paraId="6EDE86BB" w14:textId="58C2B595" w:rsidR="0011354D" w:rsidRDefault="0011354D" w:rsidP="005F2054">
      <w:pPr>
        <w:pStyle w:val="ListParagraph"/>
        <w:spacing w:after="0"/>
        <w:ind w:left="0"/>
        <w:rPr>
          <w:rFonts w:ascii="Arial" w:hAnsi="Arial" w:cs="Arial"/>
          <w:lang w:val="en-GB"/>
        </w:rPr>
      </w:pPr>
      <w:r w:rsidRPr="005F2054">
        <w:rPr>
          <w:rFonts w:ascii="Arial" w:hAnsi="Arial" w:cs="Arial"/>
          <w:lang w:val="en-GB"/>
        </w:rPr>
        <w:t xml:space="preserve">Glucocorticoids increase the production of RANKL (receptor activators of nuclear factor kappa-B ligand) and decrease the production of </w:t>
      </w:r>
      <w:proofErr w:type="spellStart"/>
      <w:r w:rsidRPr="005F2054">
        <w:rPr>
          <w:rFonts w:ascii="Arial" w:hAnsi="Arial" w:cs="Arial"/>
          <w:lang w:val="en-GB"/>
        </w:rPr>
        <w:t>osteoprotegerin</w:t>
      </w:r>
      <w:proofErr w:type="spellEnd"/>
      <w:r w:rsidRPr="005F2054">
        <w:rPr>
          <w:rFonts w:ascii="Arial" w:hAnsi="Arial" w:cs="Arial"/>
          <w:lang w:val="en-GB"/>
        </w:rPr>
        <w:t xml:space="preserve">, </w:t>
      </w:r>
      <w:r w:rsidR="00B53346" w:rsidRPr="005F2054">
        <w:rPr>
          <w:rFonts w:ascii="Arial" w:hAnsi="Arial" w:cs="Arial"/>
          <w:lang w:val="en-GB"/>
        </w:rPr>
        <w:t xml:space="preserve">leading to </w:t>
      </w:r>
      <w:r w:rsidRPr="005F2054">
        <w:rPr>
          <w:rFonts w:ascii="Arial" w:hAnsi="Arial" w:cs="Arial"/>
          <w:lang w:val="en-GB"/>
        </w:rPr>
        <w:t xml:space="preserve">enhanced </w:t>
      </w:r>
      <w:r w:rsidR="003C7D73" w:rsidRPr="005F2054">
        <w:rPr>
          <w:rFonts w:ascii="Arial" w:hAnsi="Arial" w:cs="Arial"/>
          <w:lang w:val="en-GB"/>
        </w:rPr>
        <w:t>bone</w:t>
      </w:r>
      <w:r w:rsidRPr="005F2054">
        <w:rPr>
          <w:rFonts w:ascii="Arial" w:hAnsi="Arial" w:cs="Arial"/>
          <w:lang w:val="en-GB"/>
        </w:rPr>
        <w:t xml:space="preserve"> resorption.</w:t>
      </w:r>
    </w:p>
    <w:p w14:paraId="2DF71170" w14:textId="77777777" w:rsidR="00DC274F" w:rsidRPr="005F2054" w:rsidRDefault="00DC274F" w:rsidP="005F2054">
      <w:pPr>
        <w:pStyle w:val="ListParagraph"/>
        <w:spacing w:after="0"/>
        <w:ind w:left="0"/>
        <w:rPr>
          <w:rFonts w:ascii="Arial" w:hAnsi="Arial" w:cs="Arial"/>
          <w:lang w:val="en-GB"/>
        </w:rPr>
      </w:pPr>
    </w:p>
    <w:p w14:paraId="037DF924" w14:textId="0F5269E4" w:rsidR="00DC274F" w:rsidRPr="00DC274F" w:rsidRDefault="0099661B" w:rsidP="005F2054">
      <w:pPr>
        <w:pStyle w:val="ListParagraph"/>
        <w:spacing w:after="0"/>
        <w:ind w:left="0"/>
        <w:rPr>
          <w:rFonts w:ascii="Arial" w:hAnsi="Arial" w:cs="Arial"/>
          <w:color w:val="FF0000"/>
          <w:lang w:val="en-GB"/>
        </w:rPr>
      </w:pPr>
      <w:r w:rsidRPr="00DC274F">
        <w:rPr>
          <w:rFonts w:ascii="Arial" w:hAnsi="Arial" w:cs="Arial"/>
          <w:color w:val="FF0000"/>
          <w:lang w:val="en-GB"/>
        </w:rPr>
        <w:t>I</w:t>
      </w:r>
      <w:r w:rsidR="00DC274F" w:rsidRPr="00DC274F">
        <w:rPr>
          <w:rFonts w:ascii="Arial" w:hAnsi="Arial" w:cs="Arial"/>
          <w:color w:val="FF0000"/>
          <w:lang w:val="en-GB"/>
        </w:rPr>
        <w:t xml:space="preserve">NDIRECT EFFECTS </w:t>
      </w:r>
      <w:r w:rsidRPr="00DC274F">
        <w:rPr>
          <w:rFonts w:ascii="Arial" w:hAnsi="Arial" w:cs="Arial"/>
          <w:color w:val="FF0000"/>
          <w:lang w:val="en-GB"/>
        </w:rPr>
        <w:t xml:space="preserve"> </w:t>
      </w:r>
    </w:p>
    <w:p w14:paraId="243666F4" w14:textId="77777777" w:rsidR="00DC274F" w:rsidRDefault="00DC274F" w:rsidP="005F2054">
      <w:pPr>
        <w:pStyle w:val="ListParagraph"/>
        <w:spacing w:after="0"/>
        <w:ind w:left="0"/>
        <w:rPr>
          <w:rFonts w:ascii="Arial" w:hAnsi="Arial" w:cs="Arial"/>
          <w:lang w:val="en-GB"/>
        </w:rPr>
      </w:pPr>
    </w:p>
    <w:p w14:paraId="09E134C0" w14:textId="12CB8192" w:rsidR="0011354D" w:rsidRDefault="006359ED" w:rsidP="005F2054">
      <w:pPr>
        <w:pStyle w:val="ListParagraph"/>
        <w:spacing w:after="0"/>
        <w:ind w:left="0"/>
        <w:rPr>
          <w:rFonts w:ascii="Arial" w:hAnsi="Arial" w:cs="Arial"/>
          <w:lang w:val="en-GB"/>
        </w:rPr>
      </w:pPr>
      <w:proofErr w:type="gramStart"/>
      <w:r w:rsidRPr="005F2054">
        <w:rPr>
          <w:rFonts w:ascii="Arial" w:hAnsi="Arial" w:cs="Arial"/>
          <w:lang w:val="en-GB"/>
        </w:rPr>
        <w:t>Similar to</w:t>
      </w:r>
      <w:proofErr w:type="gramEnd"/>
      <w:r w:rsidRPr="005F2054">
        <w:rPr>
          <w:rFonts w:ascii="Arial" w:hAnsi="Arial" w:cs="Arial"/>
          <w:lang w:val="en-GB"/>
        </w:rPr>
        <w:t xml:space="preserve"> other conditions </w:t>
      </w:r>
      <w:r w:rsidR="0099661B" w:rsidRPr="005F2054">
        <w:rPr>
          <w:rFonts w:ascii="Arial" w:hAnsi="Arial" w:cs="Arial"/>
          <w:lang w:val="en-GB"/>
        </w:rPr>
        <w:t xml:space="preserve">with </w:t>
      </w:r>
      <w:r w:rsidR="005148AA" w:rsidRPr="005F2054">
        <w:rPr>
          <w:rFonts w:ascii="Arial" w:hAnsi="Arial" w:cs="Arial"/>
          <w:lang w:val="en-GB"/>
        </w:rPr>
        <w:t>hypercortisolism</w:t>
      </w:r>
      <w:r w:rsidR="0099661B" w:rsidRPr="005F2054">
        <w:rPr>
          <w:rFonts w:ascii="Arial" w:hAnsi="Arial" w:cs="Arial"/>
          <w:lang w:val="en-GB"/>
        </w:rPr>
        <w:t>, glucocorticoids in post-transplant patients can induce hypogonadism, by direct</w:t>
      </w:r>
      <w:r w:rsidRPr="005F2054">
        <w:rPr>
          <w:rFonts w:ascii="Arial" w:hAnsi="Arial" w:cs="Arial"/>
          <w:lang w:val="en-GB"/>
        </w:rPr>
        <w:t xml:space="preserve">ly inhibiting the secretion of </w:t>
      </w:r>
      <w:proofErr w:type="spellStart"/>
      <w:r w:rsidR="005B7327" w:rsidRPr="005F2054">
        <w:rPr>
          <w:rFonts w:ascii="Arial" w:hAnsi="Arial" w:cs="Arial"/>
          <w:lang w:val="en-GB"/>
        </w:rPr>
        <w:t>estrogens</w:t>
      </w:r>
      <w:proofErr w:type="spellEnd"/>
      <w:r w:rsidR="0099661B" w:rsidRPr="005F2054">
        <w:rPr>
          <w:rFonts w:ascii="Arial" w:hAnsi="Arial" w:cs="Arial"/>
          <w:lang w:val="en-GB"/>
        </w:rPr>
        <w:t xml:space="preserve"> and androgens</w:t>
      </w:r>
      <w:r w:rsidRPr="005F2054">
        <w:rPr>
          <w:rFonts w:ascii="Arial" w:hAnsi="Arial" w:cs="Arial"/>
          <w:lang w:val="en-GB"/>
        </w:rPr>
        <w:t xml:space="preserve">. They also impair </w:t>
      </w:r>
      <w:r w:rsidR="0099661B" w:rsidRPr="005F2054">
        <w:rPr>
          <w:rFonts w:ascii="Arial" w:hAnsi="Arial" w:cs="Arial"/>
          <w:lang w:val="en-GB"/>
        </w:rPr>
        <w:t xml:space="preserve">calcium </w:t>
      </w:r>
      <w:r w:rsidR="0011354D" w:rsidRPr="005F2054">
        <w:rPr>
          <w:rFonts w:ascii="Arial" w:hAnsi="Arial" w:cs="Arial"/>
          <w:lang w:val="en-GB"/>
        </w:rPr>
        <w:t>absorption</w:t>
      </w:r>
      <w:r w:rsidR="005B7327" w:rsidRPr="005F2054">
        <w:rPr>
          <w:rFonts w:ascii="Arial" w:hAnsi="Arial" w:cs="Arial"/>
          <w:lang w:val="en-GB"/>
        </w:rPr>
        <w:t>,</w:t>
      </w:r>
      <w:r w:rsidR="0011354D" w:rsidRPr="005F2054">
        <w:rPr>
          <w:rFonts w:ascii="Arial" w:hAnsi="Arial" w:cs="Arial"/>
          <w:lang w:val="en-GB"/>
        </w:rPr>
        <w:t xml:space="preserve"> and negativ</w:t>
      </w:r>
      <w:r w:rsidRPr="005F2054">
        <w:rPr>
          <w:rFonts w:ascii="Arial" w:hAnsi="Arial" w:cs="Arial"/>
          <w:lang w:val="en-GB"/>
        </w:rPr>
        <w:t xml:space="preserve">ely affect </w:t>
      </w:r>
      <w:r w:rsidR="0011354D" w:rsidRPr="005F2054">
        <w:rPr>
          <w:rFonts w:ascii="Arial" w:hAnsi="Arial" w:cs="Arial"/>
          <w:lang w:val="en-GB"/>
        </w:rPr>
        <w:t xml:space="preserve">the </w:t>
      </w:r>
      <w:r w:rsidR="000C6585" w:rsidRPr="005F2054">
        <w:rPr>
          <w:rFonts w:ascii="Arial" w:hAnsi="Arial" w:cs="Arial"/>
          <w:lang w:val="en-GB"/>
        </w:rPr>
        <w:t>synthesis of 25OHD, by</w:t>
      </w:r>
      <w:r w:rsidRPr="005F2054">
        <w:rPr>
          <w:rFonts w:ascii="Arial" w:hAnsi="Arial" w:cs="Arial"/>
          <w:lang w:val="en-GB"/>
        </w:rPr>
        <w:t xml:space="preserve"> inhibiting </w:t>
      </w:r>
      <w:r w:rsidR="000C6585" w:rsidRPr="005F2054">
        <w:rPr>
          <w:rFonts w:ascii="Arial" w:hAnsi="Arial" w:cs="Arial"/>
          <w:lang w:val="en-GB"/>
        </w:rPr>
        <w:t xml:space="preserve">the 25 </w:t>
      </w:r>
      <w:r w:rsidR="00B40212" w:rsidRPr="005F2054">
        <w:rPr>
          <w:rFonts w:ascii="Arial" w:hAnsi="Arial" w:cs="Arial"/>
          <w:lang w:val="en-GB"/>
        </w:rPr>
        <w:t>hydroxylases</w:t>
      </w:r>
      <w:r w:rsidR="000C6585" w:rsidRPr="005F2054">
        <w:rPr>
          <w:rFonts w:ascii="Arial" w:hAnsi="Arial" w:cs="Arial"/>
          <w:lang w:val="en-GB"/>
        </w:rPr>
        <w:t xml:space="preserve">. </w:t>
      </w:r>
    </w:p>
    <w:p w14:paraId="6EC45C15" w14:textId="77777777" w:rsidR="003A1277" w:rsidRPr="005F2054" w:rsidRDefault="003A1277" w:rsidP="005F2054">
      <w:pPr>
        <w:pStyle w:val="ListParagraph"/>
        <w:spacing w:after="0"/>
        <w:ind w:left="0"/>
        <w:rPr>
          <w:rFonts w:ascii="Arial" w:hAnsi="Arial" w:cs="Arial"/>
          <w:lang w:val="en-GB"/>
        </w:rPr>
      </w:pPr>
    </w:p>
    <w:p w14:paraId="1C7EB899" w14:textId="7D6E2D48" w:rsidR="007959CE" w:rsidRPr="00613CCF" w:rsidRDefault="003C7D73" w:rsidP="005F2054">
      <w:pPr>
        <w:spacing w:after="0"/>
        <w:contextualSpacing/>
        <w:rPr>
          <w:rFonts w:ascii="Arial" w:hAnsi="Arial" w:cs="Arial"/>
          <w:color w:val="00B050"/>
          <w:lang w:val="en-GB"/>
        </w:rPr>
      </w:pPr>
      <w:r w:rsidRPr="00613CCF">
        <w:rPr>
          <w:rFonts w:ascii="Arial" w:hAnsi="Arial" w:cs="Arial"/>
          <w:b/>
          <w:color w:val="00B050"/>
          <w:lang w:val="en-GB"/>
        </w:rPr>
        <w:t>C</w:t>
      </w:r>
      <w:r w:rsidR="007959CE" w:rsidRPr="00613CCF">
        <w:rPr>
          <w:rFonts w:ascii="Arial" w:hAnsi="Arial" w:cs="Arial"/>
          <w:b/>
          <w:color w:val="00B050"/>
          <w:lang w:val="en-GB"/>
        </w:rPr>
        <w:t>alcineurin Inhibitors: Cyclosporine A (</w:t>
      </w:r>
      <w:proofErr w:type="spellStart"/>
      <w:r w:rsidRPr="00613CCF">
        <w:rPr>
          <w:rFonts w:ascii="Arial" w:hAnsi="Arial" w:cs="Arial"/>
          <w:b/>
          <w:color w:val="00B050"/>
          <w:lang w:val="en-GB"/>
        </w:rPr>
        <w:t>CsA</w:t>
      </w:r>
      <w:proofErr w:type="spellEnd"/>
      <w:r w:rsidRPr="00613CCF">
        <w:rPr>
          <w:rFonts w:ascii="Arial" w:hAnsi="Arial" w:cs="Arial"/>
          <w:b/>
          <w:color w:val="00B050"/>
          <w:lang w:val="en-GB"/>
        </w:rPr>
        <w:t xml:space="preserve">) </w:t>
      </w:r>
      <w:r w:rsidR="009E184A" w:rsidRPr="00613CCF">
        <w:rPr>
          <w:rFonts w:ascii="Arial" w:hAnsi="Arial" w:cs="Arial"/>
          <w:b/>
          <w:color w:val="00B050"/>
          <w:lang w:val="en-GB"/>
        </w:rPr>
        <w:t xml:space="preserve">and </w:t>
      </w:r>
      <w:r w:rsidRPr="00613CCF">
        <w:rPr>
          <w:rFonts w:ascii="Arial" w:hAnsi="Arial" w:cs="Arial"/>
          <w:b/>
          <w:color w:val="00B050"/>
          <w:lang w:val="en-GB"/>
        </w:rPr>
        <w:t>T</w:t>
      </w:r>
      <w:r w:rsidR="00613CCF" w:rsidRPr="00613CCF">
        <w:rPr>
          <w:rFonts w:ascii="Arial" w:hAnsi="Arial" w:cs="Arial"/>
          <w:b/>
          <w:color w:val="00B050"/>
          <w:lang w:val="en-GB"/>
        </w:rPr>
        <w:t xml:space="preserve">acrolimus </w:t>
      </w:r>
      <w:r w:rsidRPr="00613CCF">
        <w:rPr>
          <w:rFonts w:ascii="Arial" w:hAnsi="Arial" w:cs="Arial"/>
          <w:b/>
          <w:color w:val="00B050"/>
          <w:lang w:val="en-GB"/>
        </w:rPr>
        <w:t xml:space="preserve"> </w:t>
      </w:r>
      <w:r w:rsidR="00DF7722" w:rsidRPr="00613CCF">
        <w:rPr>
          <w:rFonts w:ascii="Arial" w:hAnsi="Arial" w:cs="Arial"/>
          <w:color w:val="00B050"/>
          <w:lang w:val="en-GB"/>
        </w:rPr>
        <w:t xml:space="preserve"> </w:t>
      </w:r>
    </w:p>
    <w:p w14:paraId="775C792F" w14:textId="77777777" w:rsidR="007959CE" w:rsidRDefault="007959CE" w:rsidP="005F2054">
      <w:pPr>
        <w:spacing w:after="0"/>
        <w:contextualSpacing/>
        <w:rPr>
          <w:rFonts w:ascii="Arial" w:hAnsi="Arial" w:cs="Arial"/>
          <w:color w:val="C00000"/>
          <w:lang w:val="en-GB"/>
        </w:rPr>
      </w:pPr>
    </w:p>
    <w:p w14:paraId="58A91784" w14:textId="7A1264DF" w:rsidR="00FE6213" w:rsidRPr="005F2054" w:rsidRDefault="00A137C4" w:rsidP="005F2054">
      <w:pPr>
        <w:spacing w:after="0"/>
        <w:contextualSpacing/>
        <w:rPr>
          <w:rFonts w:ascii="Arial" w:hAnsi="Arial" w:cs="Arial"/>
          <w:lang w:val="en-GB"/>
        </w:rPr>
      </w:pPr>
      <w:r w:rsidRPr="005F2054">
        <w:rPr>
          <w:rFonts w:ascii="Arial" w:hAnsi="Arial" w:cs="Arial"/>
          <w:lang w:val="en-GB"/>
        </w:rPr>
        <w:t xml:space="preserve">The </w:t>
      </w:r>
      <w:r w:rsidR="00BB2776" w:rsidRPr="005F2054">
        <w:rPr>
          <w:rFonts w:ascii="Arial" w:hAnsi="Arial" w:cs="Arial"/>
          <w:lang w:val="en-GB"/>
        </w:rPr>
        <w:t xml:space="preserve">impact </w:t>
      </w:r>
      <w:r w:rsidRPr="005F2054">
        <w:rPr>
          <w:rFonts w:ascii="Arial" w:hAnsi="Arial" w:cs="Arial"/>
          <w:lang w:val="en-GB"/>
        </w:rPr>
        <w:t>of</w:t>
      </w:r>
      <w:r w:rsidR="00BB2776" w:rsidRPr="005F2054">
        <w:rPr>
          <w:rFonts w:ascii="Arial" w:hAnsi="Arial" w:cs="Arial"/>
          <w:lang w:val="en-GB"/>
        </w:rPr>
        <w:t xml:space="preserve"> various </w:t>
      </w:r>
      <w:r w:rsidRPr="005F2054">
        <w:rPr>
          <w:rFonts w:ascii="Arial" w:hAnsi="Arial" w:cs="Arial"/>
          <w:lang w:val="en-GB"/>
        </w:rPr>
        <w:t>immunosuppressor drugs used in post-transplant patients</w:t>
      </w:r>
      <w:r w:rsidR="00BB2776" w:rsidRPr="005F2054">
        <w:rPr>
          <w:rFonts w:ascii="Arial" w:hAnsi="Arial" w:cs="Arial"/>
          <w:lang w:val="en-GB"/>
        </w:rPr>
        <w:t xml:space="preserve"> on bone health remains partially unknown and, in some cases, controversial. This uncertainty is like</w:t>
      </w:r>
      <w:r w:rsidR="00ED163D" w:rsidRPr="005F2054">
        <w:rPr>
          <w:rFonts w:ascii="Arial" w:hAnsi="Arial" w:cs="Arial"/>
          <w:lang w:val="en-GB"/>
        </w:rPr>
        <w:t xml:space="preserve">ly </w:t>
      </w:r>
      <w:r w:rsidR="00BB2776" w:rsidRPr="005F2054">
        <w:rPr>
          <w:rFonts w:ascii="Arial" w:hAnsi="Arial" w:cs="Arial"/>
          <w:lang w:val="en-GB"/>
        </w:rPr>
        <w:t xml:space="preserve">due to </w:t>
      </w:r>
      <w:r w:rsidRPr="005F2054">
        <w:rPr>
          <w:rFonts w:ascii="Arial" w:hAnsi="Arial" w:cs="Arial"/>
          <w:lang w:val="en-GB"/>
        </w:rPr>
        <w:t xml:space="preserve">differences in dosage, </w:t>
      </w:r>
      <w:r w:rsidR="00ED163D" w:rsidRPr="005F2054">
        <w:rPr>
          <w:rFonts w:ascii="Arial" w:hAnsi="Arial" w:cs="Arial"/>
          <w:lang w:val="en-GB"/>
        </w:rPr>
        <w:t xml:space="preserve">duration </w:t>
      </w:r>
      <w:r w:rsidRPr="005F2054">
        <w:rPr>
          <w:rFonts w:ascii="Arial" w:hAnsi="Arial" w:cs="Arial"/>
          <w:lang w:val="en-GB"/>
        </w:rPr>
        <w:t xml:space="preserve">of use, and </w:t>
      </w:r>
      <w:r w:rsidR="00ED163D" w:rsidRPr="005F2054">
        <w:rPr>
          <w:rFonts w:ascii="Arial" w:hAnsi="Arial" w:cs="Arial"/>
          <w:lang w:val="en-GB"/>
        </w:rPr>
        <w:t xml:space="preserve">combination with other medications </w:t>
      </w:r>
      <w:r w:rsidR="009E0FC5" w:rsidRPr="005F2054">
        <w:rPr>
          <w:rFonts w:ascii="Arial" w:hAnsi="Arial" w:cs="Arial"/>
          <w:lang w:val="en-GB"/>
        </w:rPr>
        <w:t>(Table 4).</w:t>
      </w:r>
      <w:r w:rsidRPr="005F2054">
        <w:rPr>
          <w:rFonts w:ascii="Arial" w:hAnsi="Arial" w:cs="Arial"/>
          <w:lang w:val="en-GB"/>
        </w:rPr>
        <w:t xml:space="preserve"> </w:t>
      </w:r>
      <w:r w:rsidR="00ED163D" w:rsidRPr="005F2054">
        <w:rPr>
          <w:rFonts w:ascii="Arial" w:hAnsi="Arial" w:cs="Arial"/>
          <w:lang w:val="en-GB"/>
        </w:rPr>
        <w:t xml:space="preserve"> Among these drugs, two are considered the cornerstone of immunosuppressive therapy for maintaining graft survival. C</w:t>
      </w:r>
      <w:r w:rsidR="00CC4275" w:rsidRPr="005F2054">
        <w:rPr>
          <w:rFonts w:ascii="Arial" w:hAnsi="Arial" w:cs="Arial"/>
          <w:lang w:val="en-GB"/>
        </w:rPr>
        <w:t xml:space="preserve">alcineurin </w:t>
      </w:r>
      <w:r w:rsidR="00ED163D" w:rsidRPr="005F2054">
        <w:rPr>
          <w:rFonts w:ascii="Arial" w:hAnsi="Arial" w:cs="Arial"/>
          <w:lang w:val="en-GB"/>
        </w:rPr>
        <w:t xml:space="preserve">inhibitors work by </w:t>
      </w:r>
      <w:r w:rsidR="00AD72BC" w:rsidRPr="005F2054">
        <w:rPr>
          <w:rFonts w:ascii="Arial" w:hAnsi="Arial" w:cs="Arial"/>
          <w:lang w:val="en-GB"/>
        </w:rPr>
        <w:t>inhibiting cytokines</w:t>
      </w:r>
      <w:r w:rsidR="00ED163D" w:rsidRPr="005F2054">
        <w:rPr>
          <w:rFonts w:ascii="Arial" w:hAnsi="Arial" w:cs="Arial"/>
          <w:lang w:val="en-GB"/>
        </w:rPr>
        <w:t xml:space="preserve"> synthesis, such as </w:t>
      </w:r>
      <w:r w:rsidR="00AD72BC" w:rsidRPr="005F2054">
        <w:rPr>
          <w:rFonts w:ascii="Arial" w:hAnsi="Arial" w:cs="Arial"/>
          <w:lang w:val="en-GB"/>
        </w:rPr>
        <w:t>interleukin-2</w:t>
      </w:r>
      <w:r w:rsidR="00ED163D" w:rsidRPr="005F2054">
        <w:rPr>
          <w:rFonts w:ascii="Arial" w:hAnsi="Arial" w:cs="Arial"/>
          <w:lang w:val="en-GB"/>
        </w:rPr>
        <w:t xml:space="preserve">, through binding to </w:t>
      </w:r>
      <w:r w:rsidR="00AD72BC" w:rsidRPr="005F2054">
        <w:rPr>
          <w:rFonts w:ascii="Arial" w:hAnsi="Arial" w:cs="Arial"/>
          <w:lang w:val="en-GB"/>
        </w:rPr>
        <w:t>immunophilin and suppressing the activity of calmodulin-dependent protein ph</w:t>
      </w:r>
      <w:r w:rsidR="00866665" w:rsidRPr="005F2054">
        <w:rPr>
          <w:rFonts w:ascii="Arial" w:hAnsi="Arial" w:cs="Arial"/>
          <w:lang w:val="en-GB"/>
        </w:rPr>
        <w:t>osphata</w:t>
      </w:r>
      <w:r w:rsidR="00AD72BC" w:rsidRPr="005F2054">
        <w:rPr>
          <w:rFonts w:ascii="Arial" w:hAnsi="Arial" w:cs="Arial"/>
          <w:lang w:val="en-GB"/>
        </w:rPr>
        <w:t>se calcineurin</w:t>
      </w:r>
      <w:r w:rsidR="0028482E" w:rsidRPr="005F2054">
        <w:rPr>
          <w:rFonts w:ascii="Arial" w:hAnsi="Arial" w:cs="Arial"/>
          <w:lang w:val="en-GB"/>
        </w:rPr>
        <w:t>.</w:t>
      </w:r>
      <w:r w:rsidR="00B76524">
        <w:rPr>
          <w:rFonts w:ascii="Arial" w:hAnsi="Arial" w:cs="Arial"/>
          <w:lang w:val="en-GB"/>
        </w:rPr>
        <w:t xml:space="preserve"> </w:t>
      </w:r>
      <w:r w:rsidR="0028482E" w:rsidRPr="005F2054">
        <w:rPr>
          <w:rFonts w:ascii="Arial" w:hAnsi="Arial" w:cs="Arial"/>
          <w:lang w:val="en-GB"/>
        </w:rPr>
        <w:t>This</w:t>
      </w:r>
      <w:r w:rsidR="00ED163D" w:rsidRPr="005F2054">
        <w:rPr>
          <w:rFonts w:ascii="Arial" w:hAnsi="Arial" w:cs="Arial"/>
          <w:lang w:val="en-GB"/>
        </w:rPr>
        <w:t xml:space="preserve"> suppression reduces by downregulating genes regulatory products, including </w:t>
      </w:r>
      <w:r w:rsidR="00866665" w:rsidRPr="005F2054">
        <w:rPr>
          <w:rFonts w:ascii="Arial" w:hAnsi="Arial" w:cs="Arial"/>
          <w:lang w:val="en-GB"/>
        </w:rPr>
        <w:t>interleukin 2, interleukin receptors and H-</w:t>
      </w:r>
      <w:proofErr w:type="spellStart"/>
      <w:r w:rsidR="00866665" w:rsidRPr="005F2054">
        <w:rPr>
          <w:rFonts w:ascii="Arial" w:hAnsi="Arial" w:cs="Arial"/>
          <w:lang w:val="en-GB"/>
        </w:rPr>
        <w:t>ras</w:t>
      </w:r>
      <w:proofErr w:type="spellEnd"/>
      <w:r w:rsidR="00866665" w:rsidRPr="005F2054">
        <w:rPr>
          <w:rFonts w:ascii="Arial" w:hAnsi="Arial" w:cs="Arial"/>
          <w:lang w:val="en-GB"/>
        </w:rPr>
        <w:t xml:space="preserve"> and c-</w:t>
      </w:r>
      <w:proofErr w:type="spellStart"/>
      <w:r w:rsidR="00866665" w:rsidRPr="00613CCF">
        <w:rPr>
          <w:rFonts w:ascii="Arial" w:hAnsi="Arial" w:cs="Arial"/>
          <w:lang w:val="en-GB"/>
        </w:rPr>
        <w:t>myc</w:t>
      </w:r>
      <w:proofErr w:type="spellEnd"/>
      <w:r w:rsidR="00866665" w:rsidRPr="00613CCF">
        <w:rPr>
          <w:rFonts w:ascii="Arial" w:hAnsi="Arial" w:cs="Arial"/>
          <w:lang w:val="en-GB"/>
        </w:rPr>
        <w:t xml:space="preserve"> (</w:t>
      </w:r>
      <w:r w:rsidR="00836604" w:rsidRPr="00613CCF">
        <w:rPr>
          <w:rFonts w:ascii="Arial" w:hAnsi="Arial" w:cs="Arial"/>
          <w:lang w:val="en-GB"/>
        </w:rPr>
        <w:t>55</w:t>
      </w:r>
      <w:r w:rsidR="00866665" w:rsidRPr="00613CCF">
        <w:rPr>
          <w:rFonts w:ascii="Arial" w:hAnsi="Arial" w:cs="Arial"/>
          <w:lang w:val="en-GB"/>
        </w:rPr>
        <w:t xml:space="preserve">). </w:t>
      </w:r>
      <w:r w:rsidR="0028482E" w:rsidRPr="00613CCF">
        <w:rPr>
          <w:rFonts w:ascii="Arial" w:hAnsi="Arial" w:cs="Arial"/>
          <w:lang w:val="en-GB"/>
        </w:rPr>
        <w:t xml:space="preserve">Studying </w:t>
      </w:r>
      <w:r w:rsidR="0028482E" w:rsidRPr="005F2054">
        <w:rPr>
          <w:rFonts w:ascii="Arial" w:hAnsi="Arial" w:cs="Arial"/>
          <w:color w:val="000000" w:themeColor="text1"/>
          <w:lang w:val="en-GB"/>
        </w:rPr>
        <w:t xml:space="preserve">the effect of these drugs on bone health is challenging due to their frequent coadministration with glucocorticoids. </w:t>
      </w:r>
      <w:r w:rsidR="00AD72BC" w:rsidRPr="005F2054">
        <w:rPr>
          <w:rFonts w:ascii="Arial" w:hAnsi="Arial" w:cs="Arial"/>
          <w:lang w:val="en-GB"/>
        </w:rPr>
        <w:t xml:space="preserve">The effects of these drugs are difficult to study, due to their coadministration with glucocorticoids. </w:t>
      </w:r>
    </w:p>
    <w:p w14:paraId="43078F5A" w14:textId="77777777" w:rsidR="00EF4F72" w:rsidRPr="005F2054" w:rsidRDefault="00EF4F72" w:rsidP="005F2054">
      <w:pPr>
        <w:spacing w:after="0"/>
        <w:contextualSpacing/>
        <w:rPr>
          <w:rFonts w:ascii="Arial" w:hAnsi="Arial" w:cs="Arial"/>
          <w:lang w:val="en-GB"/>
        </w:rPr>
      </w:pPr>
    </w:p>
    <w:tbl>
      <w:tblPr>
        <w:tblStyle w:val="TableGrid"/>
        <w:tblW w:w="0" w:type="auto"/>
        <w:tblLook w:val="04A0" w:firstRow="1" w:lastRow="0" w:firstColumn="1" w:lastColumn="0" w:noHBand="0" w:noVBand="1"/>
      </w:tblPr>
      <w:tblGrid>
        <w:gridCol w:w="4247"/>
        <w:gridCol w:w="4388"/>
      </w:tblGrid>
      <w:tr w:rsidR="000A46AA" w:rsidRPr="005F2054" w14:paraId="151AE31E" w14:textId="77777777" w:rsidTr="00613CCF">
        <w:tc>
          <w:tcPr>
            <w:tcW w:w="8635" w:type="dxa"/>
            <w:gridSpan w:val="2"/>
            <w:shd w:val="clear" w:color="auto" w:fill="FFFF00"/>
          </w:tcPr>
          <w:p w14:paraId="1FE7A7BE" w14:textId="62DB4282" w:rsidR="000A46AA" w:rsidRPr="005F2054" w:rsidRDefault="000A46AA" w:rsidP="00613CCF">
            <w:pPr>
              <w:spacing w:line="276" w:lineRule="auto"/>
              <w:rPr>
                <w:rFonts w:ascii="Arial" w:hAnsi="Arial" w:cs="Arial"/>
                <w:b/>
                <w:bCs/>
                <w:sz w:val="22"/>
                <w:szCs w:val="22"/>
                <w:lang w:val="en-US"/>
              </w:rPr>
            </w:pPr>
            <w:r w:rsidRPr="005F2054">
              <w:rPr>
                <w:rFonts w:ascii="Arial" w:hAnsi="Arial" w:cs="Arial"/>
                <w:b/>
                <w:bCs/>
                <w:sz w:val="22"/>
                <w:szCs w:val="22"/>
                <w:lang w:val="en-US"/>
              </w:rPr>
              <w:t xml:space="preserve">Table 4. Effect of Immunosuppressor Drugs on Bone of Post-Transplant </w:t>
            </w:r>
            <w:r w:rsidR="00613CCF">
              <w:rPr>
                <w:rFonts w:ascii="Arial" w:hAnsi="Arial" w:cs="Arial"/>
                <w:b/>
                <w:bCs/>
                <w:sz w:val="22"/>
                <w:szCs w:val="22"/>
                <w:lang w:val="en-US"/>
              </w:rPr>
              <w:t>P</w:t>
            </w:r>
            <w:r w:rsidRPr="005F2054">
              <w:rPr>
                <w:rFonts w:ascii="Arial" w:hAnsi="Arial" w:cs="Arial"/>
                <w:b/>
                <w:bCs/>
                <w:sz w:val="22"/>
                <w:szCs w:val="22"/>
                <w:lang w:val="en-US"/>
              </w:rPr>
              <w:t>atients</w:t>
            </w:r>
          </w:p>
        </w:tc>
      </w:tr>
      <w:tr w:rsidR="000A46AA" w:rsidRPr="005F2054" w14:paraId="55C40087" w14:textId="77777777" w:rsidTr="00613CCF">
        <w:tc>
          <w:tcPr>
            <w:tcW w:w="4247" w:type="dxa"/>
          </w:tcPr>
          <w:p w14:paraId="4387A720" w14:textId="77777777" w:rsidR="000A46AA" w:rsidRPr="005F2054" w:rsidRDefault="000A46AA" w:rsidP="005F2054">
            <w:pPr>
              <w:spacing w:line="276" w:lineRule="auto"/>
              <w:rPr>
                <w:rFonts w:ascii="Arial" w:hAnsi="Arial" w:cs="Arial"/>
                <w:b/>
                <w:bCs/>
                <w:sz w:val="22"/>
                <w:szCs w:val="22"/>
                <w:lang w:val="en-US"/>
              </w:rPr>
            </w:pPr>
            <w:r w:rsidRPr="005F2054">
              <w:rPr>
                <w:rFonts w:ascii="Arial" w:hAnsi="Arial" w:cs="Arial"/>
                <w:b/>
                <w:bCs/>
                <w:sz w:val="22"/>
                <w:szCs w:val="22"/>
                <w:lang w:val="en-US"/>
              </w:rPr>
              <w:t>Drug</w:t>
            </w:r>
            <w:r w:rsidRPr="005F2054">
              <w:rPr>
                <w:rFonts w:ascii="Arial" w:hAnsi="Arial" w:cs="Arial"/>
                <w:b/>
                <w:bCs/>
                <w:sz w:val="22"/>
                <w:szCs w:val="22"/>
                <w:lang w:val="en-US"/>
              </w:rPr>
              <w:tab/>
            </w:r>
          </w:p>
        </w:tc>
        <w:tc>
          <w:tcPr>
            <w:tcW w:w="4388" w:type="dxa"/>
          </w:tcPr>
          <w:p w14:paraId="46235D6D" w14:textId="77777777" w:rsidR="000A46AA" w:rsidRPr="005F2054" w:rsidRDefault="000A46AA" w:rsidP="005F2054">
            <w:pPr>
              <w:spacing w:line="276" w:lineRule="auto"/>
              <w:rPr>
                <w:rFonts w:ascii="Arial" w:hAnsi="Arial" w:cs="Arial"/>
                <w:b/>
                <w:bCs/>
                <w:sz w:val="22"/>
                <w:szCs w:val="22"/>
                <w:lang w:val="en-US"/>
              </w:rPr>
            </w:pPr>
            <w:r w:rsidRPr="005F2054">
              <w:rPr>
                <w:rFonts w:ascii="Arial" w:hAnsi="Arial" w:cs="Arial"/>
                <w:b/>
                <w:bCs/>
                <w:sz w:val="22"/>
                <w:szCs w:val="22"/>
                <w:lang w:val="en-US"/>
              </w:rPr>
              <w:t>Effect on Bone</w:t>
            </w:r>
          </w:p>
        </w:tc>
      </w:tr>
      <w:tr w:rsidR="000A46AA" w:rsidRPr="005F2054" w14:paraId="2F4B124A" w14:textId="77777777" w:rsidTr="00613CCF">
        <w:tc>
          <w:tcPr>
            <w:tcW w:w="4247" w:type="dxa"/>
          </w:tcPr>
          <w:p w14:paraId="5B552464" w14:textId="77777777" w:rsidR="000A46AA" w:rsidRPr="005F2054" w:rsidRDefault="000A46AA" w:rsidP="005F2054">
            <w:pPr>
              <w:spacing w:line="276" w:lineRule="auto"/>
              <w:rPr>
                <w:rFonts w:ascii="Arial" w:hAnsi="Arial" w:cs="Arial"/>
                <w:b/>
                <w:bCs/>
                <w:sz w:val="22"/>
                <w:szCs w:val="22"/>
                <w:lang w:val="en-US"/>
              </w:rPr>
            </w:pPr>
            <w:r w:rsidRPr="005F2054">
              <w:rPr>
                <w:rFonts w:ascii="Arial" w:hAnsi="Arial" w:cs="Arial"/>
                <w:b/>
                <w:bCs/>
                <w:sz w:val="22"/>
                <w:szCs w:val="22"/>
                <w:lang w:val="en-US"/>
              </w:rPr>
              <w:t>Glucocorticoids</w:t>
            </w:r>
            <w:r w:rsidRPr="005F2054">
              <w:rPr>
                <w:rFonts w:ascii="Arial" w:hAnsi="Arial" w:cs="Arial"/>
                <w:b/>
                <w:bCs/>
                <w:sz w:val="22"/>
                <w:szCs w:val="22"/>
                <w:lang w:val="en-US"/>
              </w:rPr>
              <w:tab/>
            </w:r>
          </w:p>
        </w:tc>
        <w:tc>
          <w:tcPr>
            <w:tcW w:w="4388" w:type="dxa"/>
          </w:tcPr>
          <w:p w14:paraId="6C61F900"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Inhibition of bone formation</w:t>
            </w:r>
          </w:p>
          <w:p w14:paraId="059A6BB1"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Stimulation of bone resorption</w:t>
            </w:r>
          </w:p>
          <w:p w14:paraId="10220DFD"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Reduce intestinal calcium absorption</w:t>
            </w:r>
          </w:p>
          <w:p w14:paraId="057F6E97"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Increase urinary calcium excretion</w:t>
            </w:r>
          </w:p>
          <w:p w14:paraId="04C25BDE" w14:textId="77777777" w:rsidR="000A46AA" w:rsidRPr="005F2054" w:rsidRDefault="000A46AA" w:rsidP="005F2054">
            <w:pPr>
              <w:spacing w:line="276" w:lineRule="auto"/>
              <w:rPr>
                <w:rFonts w:ascii="Arial" w:hAnsi="Arial" w:cs="Arial"/>
                <w:b/>
                <w:bCs/>
                <w:sz w:val="22"/>
                <w:szCs w:val="22"/>
                <w:lang w:val="en-US"/>
              </w:rPr>
            </w:pPr>
            <w:r w:rsidRPr="005F2054">
              <w:rPr>
                <w:rFonts w:ascii="Arial" w:hAnsi="Arial" w:cs="Arial"/>
                <w:sz w:val="22"/>
                <w:szCs w:val="22"/>
                <w:lang w:val="en-US"/>
              </w:rPr>
              <w:t>Decrease secretion of GH, estrogens and androgens</w:t>
            </w:r>
          </w:p>
        </w:tc>
      </w:tr>
      <w:tr w:rsidR="000A46AA" w:rsidRPr="005F2054" w14:paraId="36E1B258" w14:textId="77777777" w:rsidTr="00613CCF">
        <w:tc>
          <w:tcPr>
            <w:tcW w:w="4247" w:type="dxa"/>
          </w:tcPr>
          <w:p w14:paraId="6E097506" w14:textId="77777777" w:rsidR="000A46AA" w:rsidRPr="005F2054" w:rsidRDefault="000A46AA" w:rsidP="005F2054">
            <w:pPr>
              <w:spacing w:line="276" w:lineRule="auto"/>
              <w:rPr>
                <w:rFonts w:ascii="Arial" w:hAnsi="Arial" w:cs="Arial"/>
                <w:b/>
                <w:bCs/>
                <w:sz w:val="22"/>
                <w:szCs w:val="22"/>
                <w:lang w:val="en-US"/>
              </w:rPr>
            </w:pPr>
            <w:r w:rsidRPr="005F2054">
              <w:rPr>
                <w:rFonts w:ascii="Arial" w:hAnsi="Arial" w:cs="Arial"/>
                <w:b/>
                <w:bCs/>
                <w:sz w:val="22"/>
                <w:szCs w:val="22"/>
                <w:lang w:val="en-US"/>
              </w:rPr>
              <w:t>Calcineurin inhibitors</w:t>
            </w:r>
          </w:p>
          <w:p w14:paraId="7BDB66B4" w14:textId="6E8A7ED4" w:rsidR="000A46AA" w:rsidRPr="00FF5303" w:rsidRDefault="00FF5303" w:rsidP="005F2054">
            <w:pPr>
              <w:spacing w:line="276" w:lineRule="auto"/>
              <w:rPr>
                <w:rFonts w:ascii="Arial" w:hAnsi="Arial" w:cs="Arial"/>
                <w:sz w:val="22"/>
                <w:szCs w:val="22"/>
                <w:lang w:val="en-US"/>
              </w:rPr>
            </w:pPr>
            <w:r w:rsidRPr="00FF5303">
              <w:rPr>
                <w:rFonts w:ascii="Arial" w:hAnsi="Arial" w:cs="Arial"/>
                <w:sz w:val="22"/>
                <w:szCs w:val="22"/>
                <w:lang w:val="en-US"/>
              </w:rPr>
              <w:lastRenderedPageBreak/>
              <w:t xml:space="preserve">Cyclosporine A </w:t>
            </w:r>
            <w:r w:rsidR="000A46AA" w:rsidRPr="00FF5303">
              <w:rPr>
                <w:rFonts w:ascii="Arial" w:hAnsi="Arial" w:cs="Arial"/>
                <w:sz w:val="22"/>
                <w:szCs w:val="22"/>
                <w:lang w:val="en-US"/>
              </w:rPr>
              <w:t>&amp; Tacrolimus</w:t>
            </w:r>
            <w:r w:rsidR="000A46AA" w:rsidRPr="00FF5303">
              <w:rPr>
                <w:rFonts w:ascii="Arial" w:hAnsi="Arial" w:cs="Arial"/>
                <w:sz w:val="22"/>
                <w:szCs w:val="22"/>
                <w:lang w:val="en-US"/>
              </w:rPr>
              <w:tab/>
            </w:r>
          </w:p>
        </w:tc>
        <w:tc>
          <w:tcPr>
            <w:tcW w:w="4388" w:type="dxa"/>
          </w:tcPr>
          <w:p w14:paraId="2B000D97"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lastRenderedPageBreak/>
              <w:t xml:space="preserve">Marked stimulation of bone resorption </w:t>
            </w:r>
          </w:p>
          <w:p w14:paraId="3C16199F"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lastRenderedPageBreak/>
              <w:t>Minor increase in bone formation</w:t>
            </w:r>
          </w:p>
        </w:tc>
      </w:tr>
      <w:tr w:rsidR="000A46AA" w:rsidRPr="005F2054" w14:paraId="77437EE0" w14:textId="77777777" w:rsidTr="00613CCF">
        <w:tc>
          <w:tcPr>
            <w:tcW w:w="4247" w:type="dxa"/>
          </w:tcPr>
          <w:p w14:paraId="0B839BAF" w14:textId="3F365CB0" w:rsidR="000A46AA" w:rsidRPr="00EE2117" w:rsidRDefault="000A46AA" w:rsidP="005F2054">
            <w:pPr>
              <w:spacing w:line="276" w:lineRule="auto"/>
              <w:rPr>
                <w:rFonts w:ascii="Arial" w:hAnsi="Arial" w:cs="Arial"/>
                <w:sz w:val="22"/>
                <w:szCs w:val="22"/>
                <w:lang w:val="en-US"/>
              </w:rPr>
            </w:pPr>
            <w:r w:rsidRPr="009647D6">
              <w:rPr>
                <w:rFonts w:ascii="Arial" w:hAnsi="Arial" w:cs="Arial"/>
                <w:b/>
                <w:bCs/>
                <w:sz w:val="22"/>
                <w:szCs w:val="22"/>
                <w:lang w:val="en-US"/>
              </w:rPr>
              <w:lastRenderedPageBreak/>
              <w:t>Sirolimus</w:t>
            </w:r>
            <w:r w:rsidR="00EE2117" w:rsidRPr="009647D6">
              <w:rPr>
                <w:rFonts w:ascii="Arial" w:hAnsi="Arial" w:cs="Arial"/>
                <w:b/>
                <w:bCs/>
                <w:sz w:val="22"/>
                <w:szCs w:val="22"/>
                <w:lang w:val="en-US"/>
              </w:rPr>
              <w:t xml:space="preserve"> </w:t>
            </w:r>
            <w:r w:rsidR="009647D6" w:rsidRPr="009647D6">
              <w:rPr>
                <w:rFonts w:ascii="Arial" w:hAnsi="Arial" w:cs="Arial"/>
                <w:b/>
                <w:bCs/>
                <w:sz w:val="22"/>
                <w:szCs w:val="22"/>
                <w:lang w:val="en-US"/>
              </w:rPr>
              <w:t>(</w:t>
            </w:r>
            <w:r w:rsidRPr="009647D6">
              <w:rPr>
                <w:rFonts w:ascii="Arial" w:hAnsi="Arial" w:cs="Arial"/>
                <w:b/>
                <w:bCs/>
                <w:sz w:val="22"/>
                <w:szCs w:val="22"/>
                <w:lang w:val="en-US"/>
              </w:rPr>
              <w:t>Rapamyci</w:t>
            </w:r>
            <w:r w:rsidR="00EE2117" w:rsidRPr="009647D6">
              <w:rPr>
                <w:rFonts w:ascii="Arial" w:hAnsi="Arial" w:cs="Arial"/>
                <w:b/>
                <w:bCs/>
                <w:sz w:val="22"/>
                <w:szCs w:val="22"/>
                <w:lang w:val="en-US"/>
              </w:rPr>
              <w:t>n</w:t>
            </w:r>
            <w:r w:rsidR="009647D6">
              <w:rPr>
                <w:rFonts w:ascii="Arial" w:hAnsi="Arial" w:cs="Arial"/>
                <w:sz w:val="22"/>
                <w:szCs w:val="22"/>
                <w:lang w:val="en-US"/>
              </w:rPr>
              <w:t>)</w:t>
            </w:r>
          </w:p>
        </w:tc>
        <w:tc>
          <w:tcPr>
            <w:tcW w:w="4388" w:type="dxa"/>
          </w:tcPr>
          <w:p w14:paraId="52F84783"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No effects on bone volume</w:t>
            </w:r>
          </w:p>
          <w:p w14:paraId="19DC5C9C"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Inhibits longitudinal growth</w:t>
            </w:r>
          </w:p>
          <w:p w14:paraId="35D9955A"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Decrease bone formation</w:t>
            </w:r>
          </w:p>
        </w:tc>
      </w:tr>
      <w:tr w:rsidR="000A46AA" w:rsidRPr="005F2054" w14:paraId="15034D3A" w14:textId="77777777" w:rsidTr="00613CCF">
        <w:tc>
          <w:tcPr>
            <w:tcW w:w="4247" w:type="dxa"/>
          </w:tcPr>
          <w:p w14:paraId="736747C4" w14:textId="77777777" w:rsidR="000A46AA" w:rsidRPr="005F2054" w:rsidRDefault="000A46AA" w:rsidP="005F2054">
            <w:pPr>
              <w:spacing w:line="276" w:lineRule="auto"/>
              <w:rPr>
                <w:rFonts w:ascii="Arial" w:hAnsi="Arial" w:cs="Arial"/>
                <w:b/>
                <w:bCs/>
                <w:sz w:val="22"/>
                <w:szCs w:val="22"/>
                <w:lang w:val="en-US"/>
              </w:rPr>
            </w:pPr>
            <w:proofErr w:type="spellStart"/>
            <w:r w:rsidRPr="005F2054">
              <w:rPr>
                <w:rFonts w:ascii="Arial" w:hAnsi="Arial" w:cs="Arial"/>
                <w:b/>
                <w:bCs/>
                <w:sz w:val="22"/>
                <w:szCs w:val="22"/>
                <w:lang w:val="en-US"/>
              </w:rPr>
              <w:t>Everolimus</w:t>
            </w:r>
            <w:proofErr w:type="spellEnd"/>
            <w:r w:rsidRPr="005F2054">
              <w:rPr>
                <w:rFonts w:ascii="Arial" w:hAnsi="Arial" w:cs="Arial"/>
                <w:b/>
                <w:bCs/>
                <w:sz w:val="22"/>
                <w:szCs w:val="22"/>
                <w:lang w:val="en-US"/>
              </w:rPr>
              <w:tab/>
            </w:r>
          </w:p>
        </w:tc>
        <w:tc>
          <w:tcPr>
            <w:tcW w:w="4388" w:type="dxa"/>
          </w:tcPr>
          <w:p w14:paraId="5C3915B9"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Decrease bone resorption</w:t>
            </w:r>
          </w:p>
        </w:tc>
      </w:tr>
      <w:tr w:rsidR="000A46AA" w:rsidRPr="005F2054" w14:paraId="09F3E3F8" w14:textId="77777777" w:rsidTr="00613CCF">
        <w:tc>
          <w:tcPr>
            <w:tcW w:w="4247" w:type="dxa"/>
          </w:tcPr>
          <w:p w14:paraId="3AB65694" w14:textId="77777777" w:rsidR="000A46AA" w:rsidRPr="005F2054" w:rsidRDefault="000A46AA" w:rsidP="005F2054">
            <w:pPr>
              <w:spacing w:line="276" w:lineRule="auto"/>
              <w:rPr>
                <w:rFonts w:ascii="Arial" w:hAnsi="Arial" w:cs="Arial"/>
                <w:b/>
                <w:bCs/>
                <w:sz w:val="22"/>
                <w:szCs w:val="22"/>
                <w:lang w:val="en-US"/>
              </w:rPr>
            </w:pPr>
            <w:r w:rsidRPr="005F2054">
              <w:rPr>
                <w:rFonts w:ascii="Arial" w:hAnsi="Arial" w:cs="Arial"/>
                <w:b/>
                <w:bCs/>
                <w:sz w:val="22"/>
                <w:szCs w:val="22"/>
                <w:lang w:val="en-US"/>
              </w:rPr>
              <w:t>Azathioprine</w:t>
            </w:r>
            <w:r w:rsidRPr="005F2054">
              <w:rPr>
                <w:rFonts w:ascii="Arial" w:hAnsi="Arial" w:cs="Arial"/>
                <w:b/>
                <w:bCs/>
                <w:sz w:val="22"/>
                <w:szCs w:val="22"/>
                <w:lang w:val="en-US"/>
              </w:rPr>
              <w:tab/>
            </w:r>
          </w:p>
        </w:tc>
        <w:tc>
          <w:tcPr>
            <w:tcW w:w="4388" w:type="dxa"/>
          </w:tcPr>
          <w:p w14:paraId="00244190"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No effect on bone volume</w:t>
            </w:r>
          </w:p>
        </w:tc>
      </w:tr>
      <w:tr w:rsidR="000A46AA" w:rsidRPr="005F2054" w14:paraId="3B17452C" w14:textId="77777777" w:rsidTr="00613CCF">
        <w:tc>
          <w:tcPr>
            <w:tcW w:w="4247" w:type="dxa"/>
          </w:tcPr>
          <w:p w14:paraId="7B0C9C9E" w14:textId="4D6CDC76" w:rsidR="000A46AA" w:rsidRPr="005F2054" w:rsidRDefault="000A46AA" w:rsidP="003E28A3">
            <w:pPr>
              <w:spacing w:line="276" w:lineRule="auto"/>
              <w:rPr>
                <w:rFonts w:ascii="Arial" w:hAnsi="Arial" w:cs="Arial"/>
                <w:b/>
                <w:bCs/>
                <w:sz w:val="22"/>
                <w:szCs w:val="22"/>
                <w:lang w:val="en-US"/>
              </w:rPr>
            </w:pPr>
            <w:r w:rsidRPr="005F2054">
              <w:rPr>
                <w:rFonts w:ascii="Arial" w:hAnsi="Arial" w:cs="Arial"/>
                <w:b/>
                <w:bCs/>
                <w:sz w:val="22"/>
                <w:szCs w:val="22"/>
                <w:lang w:val="en-US"/>
              </w:rPr>
              <w:t>Mycophenolate</w:t>
            </w:r>
            <w:r w:rsidR="003E28A3">
              <w:rPr>
                <w:rFonts w:ascii="Arial" w:hAnsi="Arial" w:cs="Arial"/>
                <w:b/>
                <w:bCs/>
                <w:sz w:val="22"/>
                <w:szCs w:val="22"/>
                <w:lang w:val="en-US"/>
              </w:rPr>
              <w:t xml:space="preserve"> </w:t>
            </w:r>
            <w:r w:rsidRPr="005F2054">
              <w:rPr>
                <w:rFonts w:ascii="Arial" w:hAnsi="Arial" w:cs="Arial"/>
                <w:b/>
                <w:bCs/>
                <w:sz w:val="22"/>
                <w:szCs w:val="22"/>
                <w:lang w:val="en-US"/>
              </w:rPr>
              <w:t>mofetil</w:t>
            </w:r>
          </w:p>
        </w:tc>
        <w:tc>
          <w:tcPr>
            <w:tcW w:w="4388" w:type="dxa"/>
          </w:tcPr>
          <w:p w14:paraId="2DE1661D" w14:textId="77777777" w:rsidR="000A46AA" w:rsidRPr="005F2054" w:rsidRDefault="000A46AA" w:rsidP="005F2054">
            <w:pPr>
              <w:spacing w:line="276" w:lineRule="auto"/>
              <w:rPr>
                <w:rFonts w:ascii="Arial" w:hAnsi="Arial" w:cs="Arial"/>
                <w:sz w:val="22"/>
                <w:szCs w:val="22"/>
                <w:lang w:val="en-US"/>
              </w:rPr>
            </w:pPr>
            <w:r w:rsidRPr="005F2054">
              <w:rPr>
                <w:rFonts w:ascii="Arial" w:hAnsi="Arial" w:cs="Arial"/>
                <w:sz w:val="22"/>
                <w:szCs w:val="22"/>
                <w:lang w:val="en-US"/>
              </w:rPr>
              <w:t>No change in bone volume</w:t>
            </w:r>
          </w:p>
        </w:tc>
      </w:tr>
    </w:tbl>
    <w:p w14:paraId="06C56C46" w14:textId="77777777" w:rsidR="000A46AA" w:rsidRPr="005F2054" w:rsidRDefault="000A46AA" w:rsidP="005F2054">
      <w:pPr>
        <w:spacing w:after="0"/>
        <w:rPr>
          <w:rFonts w:ascii="Arial" w:hAnsi="Arial" w:cs="Arial"/>
          <w:b/>
          <w:bCs/>
          <w:lang w:val="en-US"/>
        </w:rPr>
      </w:pPr>
    </w:p>
    <w:p w14:paraId="729DA21A" w14:textId="3929563F" w:rsidR="008C7516" w:rsidRDefault="00DA6E15" w:rsidP="005F2054">
      <w:pPr>
        <w:spacing w:after="0"/>
        <w:contextualSpacing/>
        <w:rPr>
          <w:rFonts w:ascii="Arial" w:hAnsi="Arial" w:cs="Arial"/>
          <w:lang w:val="en-GB"/>
        </w:rPr>
      </w:pPr>
      <w:r w:rsidRPr="005F2054">
        <w:rPr>
          <w:rFonts w:ascii="Arial" w:hAnsi="Arial" w:cs="Arial"/>
          <w:lang w:val="en-GB"/>
        </w:rPr>
        <w:t>S</w:t>
      </w:r>
      <w:r w:rsidR="00FE6213" w:rsidRPr="005F2054">
        <w:rPr>
          <w:rFonts w:ascii="Arial" w:hAnsi="Arial" w:cs="Arial"/>
          <w:lang w:val="en-GB"/>
        </w:rPr>
        <w:t xml:space="preserve">tudies </w:t>
      </w:r>
      <w:r w:rsidR="00312175" w:rsidRPr="005F2054">
        <w:rPr>
          <w:rFonts w:ascii="Arial" w:hAnsi="Arial" w:cs="Arial"/>
          <w:lang w:val="en-GB"/>
        </w:rPr>
        <w:t>in rats</w:t>
      </w:r>
      <w:r w:rsidR="00FE6213" w:rsidRPr="005F2054">
        <w:rPr>
          <w:rFonts w:ascii="Arial" w:hAnsi="Arial" w:cs="Arial"/>
          <w:lang w:val="en-GB"/>
        </w:rPr>
        <w:t xml:space="preserve"> </w:t>
      </w:r>
      <w:r w:rsidRPr="005F2054">
        <w:rPr>
          <w:rFonts w:ascii="Arial" w:hAnsi="Arial" w:cs="Arial"/>
          <w:lang w:val="en-GB"/>
        </w:rPr>
        <w:t xml:space="preserve">have shown that </w:t>
      </w:r>
      <w:proofErr w:type="spellStart"/>
      <w:r w:rsidR="00FE6213" w:rsidRPr="005F2054">
        <w:rPr>
          <w:rFonts w:ascii="Arial" w:hAnsi="Arial" w:cs="Arial"/>
          <w:lang w:val="en-GB"/>
        </w:rPr>
        <w:t>CsA</w:t>
      </w:r>
      <w:proofErr w:type="spellEnd"/>
      <w:r w:rsidR="00FE6213" w:rsidRPr="005F2054">
        <w:rPr>
          <w:rFonts w:ascii="Arial" w:hAnsi="Arial" w:cs="Arial"/>
          <w:lang w:val="en-GB"/>
        </w:rPr>
        <w:t xml:space="preserve"> </w:t>
      </w:r>
      <w:r w:rsidRPr="005F2054">
        <w:rPr>
          <w:rFonts w:ascii="Arial" w:hAnsi="Arial" w:cs="Arial"/>
          <w:lang w:val="en-GB"/>
        </w:rPr>
        <w:t xml:space="preserve">stimulates both osteoblast and osteoclast activity </w:t>
      </w:r>
      <w:r w:rsidR="00FE6213" w:rsidRPr="005F2054">
        <w:rPr>
          <w:rFonts w:ascii="Arial" w:hAnsi="Arial" w:cs="Arial"/>
          <w:lang w:val="en-GB"/>
        </w:rPr>
        <w:t>(</w:t>
      </w:r>
      <w:r w:rsidR="002A7A95" w:rsidRPr="005F2054">
        <w:rPr>
          <w:rFonts w:ascii="Arial" w:hAnsi="Arial" w:cs="Arial"/>
          <w:lang w:val="en-GB"/>
        </w:rPr>
        <w:t>5</w:t>
      </w:r>
      <w:r w:rsidR="004A61F1" w:rsidRPr="005F2054">
        <w:rPr>
          <w:rFonts w:ascii="Arial" w:hAnsi="Arial" w:cs="Arial"/>
          <w:lang w:val="en-GB"/>
        </w:rPr>
        <w:t>6</w:t>
      </w:r>
      <w:r w:rsidR="00FE6213" w:rsidRPr="005F2054">
        <w:rPr>
          <w:rFonts w:ascii="Arial" w:hAnsi="Arial" w:cs="Arial"/>
          <w:lang w:val="en-GB"/>
        </w:rPr>
        <w:t xml:space="preserve">). </w:t>
      </w:r>
      <w:r w:rsidR="002A7A95" w:rsidRPr="005F2054">
        <w:rPr>
          <w:rFonts w:ascii="Arial" w:hAnsi="Arial" w:cs="Arial"/>
          <w:lang w:val="en-GB"/>
        </w:rPr>
        <w:t>However</w:t>
      </w:r>
      <w:r w:rsidR="00620744" w:rsidRPr="005F2054">
        <w:rPr>
          <w:rFonts w:ascii="Arial" w:hAnsi="Arial" w:cs="Arial"/>
          <w:lang w:val="en-GB"/>
        </w:rPr>
        <w:t>,</w:t>
      </w:r>
      <w:r w:rsidR="00FE6213" w:rsidRPr="005F2054">
        <w:rPr>
          <w:rFonts w:ascii="Arial" w:hAnsi="Arial" w:cs="Arial"/>
          <w:lang w:val="en-GB"/>
        </w:rPr>
        <w:t xml:space="preserve"> </w:t>
      </w:r>
      <w:r w:rsidR="00235D7B" w:rsidRPr="005F2054">
        <w:rPr>
          <w:rFonts w:ascii="Arial" w:hAnsi="Arial" w:cs="Arial"/>
          <w:lang w:val="en-GB"/>
        </w:rPr>
        <w:t xml:space="preserve">administration of </w:t>
      </w:r>
      <w:proofErr w:type="spellStart"/>
      <w:r w:rsidR="00235D7B" w:rsidRPr="005F2054">
        <w:rPr>
          <w:rFonts w:ascii="Arial" w:hAnsi="Arial" w:cs="Arial"/>
          <w:lang w:val="en-GB"/>
        </w:rPr>
        <w:t>CsA</w:t>
      </w:r>
      <w:proofErr w:type="spellEnd"/>
      <w:r w:rsidR="00235D7B" w:rsidRPr="005F2054">
        <w:rPr>
          <w:rFonts w:ascii="Arial" w:hAnsi="Arial" w:cs="Arial"/>
          <w:lang w:val="en-GB"/>
        </w:rPr>
        <w:t xml:space="preserve"> in rodents has been associated with severe trabecular bone loss </w:t>
      </w:r>
      <w:r w:rsidR="000702A1" w:rsidRPr="005F2054">
        <w:rPr>
          <w:rFonts w:ascii="Arial" w:hAnsi="Arial" w:cs="Arial"/>
          <w:lang w:val="en-GB"/>
        </w:rPr>
        <w:t xml:space="preserve">and induced high turnover bone loss, </w:t>
      </w:r>
      <w:r w:rsidR="00235D7B" w:rsidRPr="005F2054">
        <w:rPr>
          <w:rFonts w:ascii="Arial" w:hAnsi="Arial" w:cs="Arial"/>
          <w:lang w:val="en-GB"/>
        </w:rPr>
        <w:t>due to increased bone resorption and formation, accompanied by elevated levels of osteocalcin and 1,25(OH)</w:t>
      </w:r>
      <w:r w:rsidR="00235D7B" w:rsidRPr="00613CCF">
        <w:rPr>
          <w:rFonts w:ascii="Arial" w:hAnsi="Arial" w:cs="Arial"/>
          <w:lang w:val="en-GB"/>
        </w:rPr>
        <w:t>2D3 (57).</w:t>
      </w:r>
      <w:r w:rsidR="008C7516" w:rsidRPr="00613CCF">
        <w:rPr>
          <w:rFonts w:ascii="Arial" w:hAnsi="Arial" w:cs="Arial"/>
          <w:lang w:val="en-GB"/>
        </w:rPr>
        <w:t xml:space="preserve"> </w:t>
      </w:r>
      <w:r w:rsidR="008C7516" w:rsidRPr="005F2054">
        <w:rPr>
          <w:rFonts w:ascii="Arial" w:hAnsi="Arial" w:cs="Arial"/>
          <w:color w:val="000000" w:themeColor="text1"/>
          <w:lang w:val="en-GB"/>
        </w:rPr>
        <w:t xml:space="preserve">In a one-month comparative study in rats, both </w:t>
      </w:r>
      <w:proofErr w:type="spellStart"/>
      <w:r w:rsidR="008C7516" w:rsidRPr="005F2054">
        <w:rPr>
          <w:rFonts w:ascii="Arial" w:hAnsi="Arial" w:cs="Arial"/>
          <w:color w:val="000000" w:themeColor="text1"/>
          <w:lang w:val="en-GB"/>
        </w:rPr>
        <w:t>CsA</w:t>
      </w:r>
      <w:proofErr w:type="spellEnd"/>
      <w:r w:rsidR="008C7516" w:rsidRPr="005F2054">
        <w:rPr>
          <w:rFonts w:ascii="Arial" w:hAnsi="Arial" w:cs="Arial"/>
          <w:color w:val="000000" w:themeColor="text1"/>
          <w:lang w:val="en-GB"/>
        </w:rPr>
        <w:t xml:space="preserve"> and tacrolimus were found to reduce bone strength. </w:t>
      </w:r>
      <w:proofErr w:type="spellStart"/>
      <w:r w:rsidR="008C7516" w:rsidRPr="005F2054">
        <w:rPr>
          <w:rFonts w:ascii="Arial" w:hAnsi="Arial" w:cs="Arial"/>
          <w:color w:val="000000" w:themeColor="text1"/>
          <w:lang w:val="en-GB"/>
        </w:rPr>
        <w:t>CsA</w:t>
      </w:r>
      <w:proofErr w:type="spellEnd"/>
      <w:r w:rsidR="008C7516" w:rsidRPr="005F2054">
        <w:rPr>
          <w:rFonts w:ascii="Arial" w:hAnsi="Arial" w:cs="Arial"/>
          <w:color w:val="000000" w:themeColor="text1"/>
          <w:lang w:val="en-GB"/>
        </w:rPr>
        <w:t xml:space="preserve"> induced high-turnover bone loss by stimulating both bone formation and resorption whereas tacrolimus primarily stimulated bone resorption (58). Additionally, in a small study of renal transplant patients, steroid </w:t>
      </w:r>
      <w:r w:rsidR="00133292" w:rsidRPr="005F2054">
        <w:rPr>
          <w:rFonts w:ascii="Arial" w:hAnsi="Arial" w:cs="Arial"/>
          <w:color w:val="000000" w:themeColor="text1"/>
          <w:lang w:val="en-GB"/>
        </w:rPr>
        <w:t>withdrawal</w:t>
      </w:r>
      <w:r w:rsidR="008C7516" w:rsidRPr="005F2054">
        <w:rPr>
          <w:rFonts w:ascii="Arial" w:hAnsi="Arial" w:cs="Arial"/>
          <w:color w:val="000000" w:themeColor="text1"/>
          <w:lang w:val="en-GB"/>
        </w:rPr>
        <w:t xml:space="preserve"> was associated with lower bone loss when </w:t>
      </w:r>
      <w:proofErr w:type="spellStart"/>
      <w:r w:rsidR="008C7516" w:rsidRPr="005F2054">
        <w:rPr>
          <w:rFonts w:ascii="Arial" w:hAnsi="Arial" w:cs="Arial"/>
          <w:color w:val="000000" w:themeColor="text1"/>
          <w:lang w:val="en-GB"/>
        </w:rPr>
        <w:t>CsA</w:t>
      </w:r>
      <w:proofErr w:type="spellEnd"/>
      <w:r w:rsidR="008C7516" w:rsidRPr="005F2054">
        <w:rPr>
          <w:rFonts w:ascii="Arial" w:hAnsi="Arial" w:cs="Arial"/>
          <w:color w:val="000000" w:themeColor="text1"/>
          <w:lang w:val="en-GB"/>
        </w:rPr>
        <w:t xml:space="preserve"> was used alone (59). Consequently, the </w:t>
      </w:r>
      <w:r w:rsidR="00133292" w:rsidRPr="005F2054">
        <w:rPr>
          <w:rFonts w:ascii="Arial" w:hAnsi="Arial" w:cs="Arial"/>
          <w:color w:val="000000" w:themeColor="text1"/>
          <w:lang w:val="en-GB"/>
        </w:rPr>
        <w:t>overall</w:t>
      </w:r>
      <w:r w:rsidR="008C7516" w:rsidRPr="005F2054">
        <w:rPr>
          <w:rFonts w:ascii="Arial" w:hAnsi="Arial" w:cs="Arial"/>
          <w:color w:val="000000" w:themeColor="text1"/>
          <w:lang w:val="en-GB"/>
        </w:rPr>
        <w:t xml:space="preserve"> eff</w:t>
      </w:r>
      <w:r w:rsidR="00196902" w:rsidRPr="005F2054">
        <w:rPr>
          <w:rFonts w:ascii="Arial" w:hAnsi="Arial" w:cs="Arial"/>
          <w:lang w:val="en-GB"/>
        </w:rPr>
        <w:t xml:space="preserve">ect of </w:t>
      </w:r>
      <w:proofErr w:type="spellStart"/>
      <w:r w:rsidR="00196902" w:rsidRPr="005F2054">
        <w:rPr>
          <w:rFonts w:ascii="Arial" w:hAnsi="Arial" w:cs="Arial"/>
          <w:lang w:val="en-GB"/>
        </w:rPr>
        <w:t>CsA</w:t>
      </w:r>
      <w:proofErr w:type="spellEnd"/>
      <w:r w:rsidR="00196902" w:rsidRPr="005F2054">
        <w:rPr>
          <w:rFonts w:ascii="Arial" w:hAnsi="Arial" w:cs="Arial"/>
          <w:lang w:val="en-GB"/>
        </w:rPr>
        <w:t xml:space="preserve"> on bone density </w:t>
      </w:r>
      <w:r w:rsidR="008C7516" w:rsidRPr="005F2054">
        <w:rPr>
          <w:rFonts w:ascii="Arial" w:hAnsi="Arial" w:cs="Arial"/>
          <w:lang w:val="en-GB"/>
        </w:rPr>
        <w:t xml:space="preserve">remains unclear. </w:t>
      </w:r>
    </w:p>
    <w:p w14:paraId="41C5DB02" w14:textId="77777777" w:rsidR="00613CCF" w:rsidRPr="005F2054" w:rsidRDefault="00613CCF" w:rsidP="005F2054">
      <w:pPr>
        <w:spacing w:after="0"/>
        <w:contextualSpacing/>
        <w:rPr>
          <w:rFonts w:ascii="Arial" w:hAnsi="Arial" w:cs="Arial"/>
          <w:lang w:val="en-GB"/>
        </w:rPr>
      </w:pPr>
    </w:p>
    <w:p w14:paraId="4BD2D4FB" w14:textId="06F4A8E7" w:rsidR="009125CB" w:rsidRPr="00E87BC4" w:rsidRDefault="00CD0918" w:rsidP="005F2054">
      <w:pPr>
        <w:spacing w:after="0"/>
        <w:contextualSpacing/>
        <w:rPr>
          <w:rFonts w:ascii="Arial" w:hAnsi="Arial" w:cs="Arial"/>
          <w:lang w:val="en-GB"/>
        </w:rPr>
      </w:pPr>
      <w:r w:rsidRPr="00613CCF">
        <w:rPr>
          <w:rFonts w:ascii="Arial" w:hAnsi="Arial" w:cs="Arial"/>
          <w:bCs/>
          <w:lang w:val="en-GB"/>
        </w:rPr>
        <w:t xml:space="preserve">Tacrolimus </w:t>
      </w:r>
      <w:r w:rsidR="008C7516" w:rsidRPr="00613CCF">
        <w:rPr>
          <w:rFonts w:ascii="Arial" w:hAnsi="Arial" w:cs="Arial"/>
          <w:bCs/>
          <w:lang w:val="en-GB"/>
        </w:rPr>
        <w:t xml:space="preserve">has been shown to induce </w:t>
      </w:r>
      <w:r w:rsidRPr="00613CCF">
        <w:rPr>
          <w:rFonts w:ascii="Arial" w:hAnsi="Arial" w:cs="Arial"/>
          <w:bCs/>
          <w:lang w:val="en-GB"/>
        </w:rPr>
        <w:t>trabecular</w:t>
      </w:r>
      <w:r w:rsidRPr="005F2054">
        <w:rPr>
          <w:rFonts w:ascii="Arial" w:hAnsi="Arial" w:cs="Arial"/>
          <w:lang w:val="en-GB"/>
        </w:rPr>
        <w:t xml:space="preserve"> bone loss without </w:t>
      </w:r>
      <w:r w:rsidR="008C7516" w:rsidRPr="005F2054">
        <w:rPr>
          <w:rFonts w:ascii="Arial" w:hAnsi="Arial" w:cs="Arial"/>
          <w:lang w:val="en-GB"/>
        </w:rPr>
        <w:t xml:space="preserve">significantly </w:t>
      </w:r>
      <w:r w:rsidRPr="005F2054">
        <w:rPr>
          <w:rFonts w:ascii="Arial" w:hAnsi="Arial" w:cs="Arial"/>
          <w:lang w:val="en-GB"/>
        </w:rPr>
        <w:t xml:space="preserve">affecting bone formation in the </w:t>
      </w:r>
      <w:r w:rsidRPr="00613CCF">
        <w:rPr>
          <w:rFonts w:ascii="Arial" w:hAnsi="Arial" w:cs="Arial"/>
          <w:lang w:val="en-GB"/>
        </w:rPr>
        <w:t>rat (</w:t>
      </w:r>
      <w:r w:rsidR="00163773" w:rsidRPr="00613CCF">
        <w:rPr>
          <w:rFonts w:ascii="Arial" w:hAnsi="Arial" w:cs="Arial"/>
          <w:lang w:val="en-GB"/>
        </w:rPr>
        <w:t>57</w:t>
      </w:r>
      <w:r w:rsidRPr="00613CCF">
        <w:rPr>
          <w:rFonts w:ascii="Arial" w:hAnsi="Arial" w:cs="Arial"/>
          <w:lang w:val="en-GB"/>
        </w:rPr>
        <w:t>).</w:t>
      </w:r>
      <w:r w:rsidR="008C7516" w:rsidRPr="00613CCF">
        <w:rPr>
          <w:rFonts w:ascii="Arial" w:hAnsi="Arial" w:cs="Arial"/>
          <w:lang w:val="en-GB"/>
        </w:rPr>
        <w:t xml:space="preserve"> Compared to </w:t>
      </w:r>
      <w:proofErr w:type="spellStart"/>
      <w:r w:rsidR="008C7516" w:rsidRPr="00613CCF">
        <w:rPr>
          <w:rFonts w:ascii="Arial" w:hAnsi="Arial" w:cs="Arial"/>
          <w:lang w:val="en-GB"/>
        </w:rPr>
        <w:t>Csa</w:t>
      </w:r>
      <w:proofErr w:type="spellEnd"/>
      <w:r w:rsidR="008C7516" w:rsidRPr="00613CCF">
        <w:rPr>
          <w:rFonts w:ascii="Arial" w:hAnsi="Arial" w:cs="Arial"/>
          <w:lang w:val="en-GB"/>
        </w:rPr>
        <w:t xml:space="preserve">, </w:t>
      </w:r>
      <w:r w:rsidR="001A56FF" w:rsidRPr="00613CCF">
        <w:rPr>
          <w:rFonts w:ascii="Arial" w:hAnsi="Arial" w:cs="Arial"/>
          <w:lang w:val="en-GB"/>
        </w:rPr>
        <w:t>Tacrolimus</w:t>
      </w:r>
      <w:r w:rsidR="008C7516" w:rsidRPr="00613CCF">
        <w:rPr>
          <w:rFonts w:ascii="Arial" w:hAnsi="Arial" w:cs="Arial"/>
          <w:lang w:val="en-GB"/>
        </w:rPr>
        <w:t>-based r</w:t>
      </w:r>
      <w:r w:rsidR="00AD2E87" w:rsidRPr="00613CCF">
        <w:rPr>
          <w:rFonts w:ascii="Arial" w:hAnsi="Arial" w:cs="Arial"/>
          <w:lang w:val="en-GB"/>
        </w:rPr>
        <w:t xml:space="preserve">egimens may </w:t>
      </w:r>
      <w:r w:rsidR="008C7516" w:rsidRPr="00613CCF">
        <w:rPr>
          <w:rFonts w:ascii="Arial" w:hAnsi="Arial" w:cs="Arial"/>
          <w:lang w:val="en-GB"/>
        </w:rPr>
        <w:t xml:space="preserve">allow </w:t>
      </w:r>
      <w:r w:rsidR="000D7F67">
        <w:rPr>
          <w:rFonts w:ascii="Arial" w:hAnsi="Arial" w:cs="Arial"/>
          <w:lang w:val="en-GB"/>
        </w:rPr>
        <w:t>for a</w:t>
      </w:r>
      <w:r w:rsidR="008C7516" w:rsidRPr="00613CCF">
        <w:rPr>
          <w:rFonts w:ascii="Arial" w:hAnsi="Arial" w:cs="Arial"/>
          <w:lang w:val="en-GB"/>
        </w:rPr>
        <w:t xml:space="preserve"> </w:t>
      </w:r>
      <w:r w:rsidR="002E3EA0">
        <w:rPr>
          <w:rFonts w:ascii="Arial" w:hAnsi="Arial" w:cs="Arial"/>
          <w:lang w:val="en-GB"/>
        </w:rPr>
        <w:t>decrease in</w:t>
      </w:r>
      <w:r w:rsidR="008C7516" w:rsidRPr="00613CCF">
        <w:rPr>
          <w:rFonts w:ascii="Arial" w:hAnsi="Arial" w:cs="Arial"/>
          <w:lang w:val="en-GB"/>
        </w:rPr>
        <w:t xml:space="preserve"> </w:t>
      </w:r>
      <w:r w:rsidR="00775492" w:rsidRPr="00613CCF">
        <w:rPr>
          <w:rFonts w:ascii="Arial" w:hAnsi="Arial" w:cs="Arial"/>
          <w:lang w:val="en-GB"/>
        </w:rPr>
        <w:t xml:space="preserve">glucocorticoids </w:t>
      </w:r>
      <w:r w:rsidR="001A56FF" w:rsidRPr="00613CCF">
        <w:rPr>
          <w:rFonts w:ascii="Arial" w:hAnsi="Arial" w:cs="Arial"/>
          <w:lang w:val="en-GB"/>
        </w:rPr>
        <w:t xml:space="preserve">use and result in a more modest reduction in </w:t>
      </w:r>
      <w:r w:rsidR="00AD2E87" w:rsidRPr="00613CCF">
        <w:rPr>
          <w:rFonts w:ascii="Arial" w:hAnsi="Arial" w:cs="Arial"/>
          <w:lang w:val="en-GB"/>
        </w:rPr>
        <w:t>BMD</w:t>
      </w:r>
      <w:r w:rsidR="002E3EA0">
        <w:rPr>
          <w:rFonts w:ascii="Arial" w:hAnsi="Arial" w:cs="Arial"/>
          <w:lang w:val="en-GB"/>
        </w:rPr>
        <w:t>.</w:t>
      </w:r>
      <w:r w:rsidR="001A56FF" w:rsidRPr="00613CCF">
        <w:rPr>
          <w:rFonts w:ascii="Arial" w:hAnsi="Arial" w:cs="Arial"/>
          <w:lang w:val="en-GB"/>
        </w:rPr>
        <w:t xml:space="preserve"> In a study of </w:t>
      </w:r>
      <w:r w:rsidR="005652E3" w:rsidRPr="00613CCF">
        <w:rPr>
          <w:rFonts w:ascii="Arial" w:hAnsi="Arial" w:cs="Arial"/>
          <w:lang w:val="en-GB"/>
        </w:rPr>
        <w:t>350 liver transplant recipients</w:t>
      </w:r>
      <w:r w:rsidR="001A56FF" w:rsidRPr="00613CCF">
        <w:rPr>
          <w:rFonts w:ascii="Arial" w:hAnsi="Arial" w:cs="Arial"/>
          <w:lang w:val="en-GB"/>
        </w:rPr>
        <w:t xml:space="preserve"> with </w:t>
      </w:r>
      <w:r w:rsidR="005652E3" w:rsidRPr="00613CCF">
        <w:rPr>
          <w:rFonts w:ascii="Arial" w:hAnsi="Arial" w:cs="Arial"/>
          <w:lang w:val="en-GB"/>
        </w:rPr>
        <w:t xml:space="preserve">chronic cholestatic liver disease, </w:t>
      </w:r>
      <w:r w:rsidR="001A56FF" w:rsidRPr="00613CCF">
        <w:rPr>
          <w:rFonts w:ascii="Arial" w:hAnsi="Arial" w:cs="Arial"/>
          <w:lang w:val="en-GB"/>
        </w:rPr>
        <w:t xml:space="preserve">patients treated with </w:t>
      </w:r>
      <w:proofErr w:type="spellStart"/>
      <w:r w:rsidR="001A56FF" w:rsidRPr="00613CCF">
        <w:rPr>
          <w:rFonts w:ascii="Arial" w:hAnsi="Arial" w:cs="Arial"/>
          <w:lang w:val="en-GB"/>
        </w:rPr>
        <w:t>CsA</w:t>
      </w:r>
      <w:proofErr w:type="spellEnd"/>
      <w:r w:rsidR="001A56FF" w:rsidRPr="00613CCF">
        <w:rPr>
          <w:rFonts w:ascii="Arial" w:hAnsi="Arial" w:cs="Arial"/>
          <w:lang w:val="en-GB"/>
        </w:rPr>
        <w:t xml:space="preserve"> experienced lower post-transplant bone gain and higher incidence of </w:t>
      </w:r>
      <w:r w:rsidR="005652E3" w:rsidRPr="00613CCF">
        <w:rPr>
          <w:rFonts w:ascii="Arial" w:hAnsi="Arial" w:cs="Arial"/>
          <w:lang w:val="en-GB"/>
        </w:rPr>
        <w:t xml:space="preserve">fractures </w:t>
      </w:r>
      <w:r w:rsidR="001A56FF" w:rsidRPr="00613CCF">
        <w:rPr>
          <w:rFonts w:ascii="Arial" w:hAnsi="Arial" w:cs="Arial"/>
          <w:lang w:val="en-GB"/>
        </w:rPr>
        <w:t>than those receiving tacrolimus</w:t>
      </w:r>
      <w:r w:rsidR="005652E3" w:rsidRPr="00613CCF">
        <w:rPr>
          <w:rFonts w:ascii="Arial" w:hAnsi="Arial" w:cs="Arial"/>
          <w:lang w:val="en-GB"/>
        </w:rPr>
        <w:t xml:space="preserve"> (</w:t>
      </w:r>
      <w:r w:rsidR="007645EA" w:rsidRPr="00613CCF">
        <w:rPr>
          <w:rFonts w:ascii="Arial" w:hAnsi="Arial" w:cs="Arial"/>
          <w:lang w:val="en-GB"/>
        </w:rPr>
        <w:t>60</w:t>
      </w:r>
      <w:r w:rsidR="005652E3" w:rsidRPr="00613CCF">
        <w:rPr>
          <w:rFonts w:ascii="Arial" w:hAnsi="Arial" w:cs="Arial"/>
          <w:lang w:val="en-GB"/>
        </w:rPr>
        <w:t xml:space="preserve">). </w:t>
      </w:r>
      <w:r w:rsidR="0071609A" w:rsidRPr="005F2054">
        <w:rPr>
          <w:rFonts w:ascii="Arial" w:hAnsi="Arial" w:cs="Arial"/>
          <w:lang w:val="en-GB"/>
        </w:rPr>
        <w:t>O</w:t>
      </w:r>
      <w:r w:rsidR="009125CB" w:rsidRPr="005F2054">
        <w:rPr>
          <w:rFonts w:ascii="Arial" w:hAnsi="Arial" w:cs="Arial"/>
          <w:lang w:val="en-GB"/>
        </w:rPr>
        <w:t>ther studies</w:t>
      </w:r>
      <w:r w:rsidR="0071609A" w:rsidRPr="005F2054">
        <w:rPr>
          <w:rFonts w:ascii="Arial" w:hAnsi="Arial" w:cs="Arial"/>
          <w:lang w:val="en-GB"/>
        </w:rPr>
        <w:t xml:space="preserve"> suggest that ta</w:t>
      </w:r>
      <w:r w:rsidR="005652E3" w:rsidRPr="005F2054">
        <w:rPr>
          <w:rFonts w:ascii="Arial" w:hAnsi="Arial" w:cs="Arial"/>
          <w:lang w:val="en-GB"/>
        </w:rPr>
        <w:t>crolimus</w:t>
      </w:r>
      <w:r w:rsidR="0071609A" w:rsidRPr="005F2054">
        <w:rPr>
          <w:rFonts w:ascii="Arial" w:hAnsi="Arial" w:cs="Arial"/>
          <w:lang w:val="en-GB"/>
        </w:rPr>
        <w:t xml:space="preserve"> induces only a modest reduction in bone mass, while some reports indicate liver transplant recipients treated with tacrolimus had significantly higher femoral neck BMD compared to those receiving </w:t>
      </w:r>
      <w:proofErr w:type="spellStart"/>
      <w:r w:rsidR="0071609A" w:rsidRPr="00E87BC4">
        <w:rPr>
          <w:rFonts w:ascii="Arial" w:hAnsi="Arial" w:cs="Arial"/>
          <w:lang w:val="en-GB"/>
        </w:rPr>
        <w:t>CsA</w:t>
      </w:r>
      <w:proofErr w:type="spellEnd"/>
      <w:r w:rsidR="0071609A" w:rsidRPr="00E87BC4">
        <w:rPr>
          <w:rFonts w:ascii="Arial" w:hAnsi="Arial" w:cs="Arial"/>
          <w:lang w:val="en-GB"/>
        </w:rPr>
        <w:t xml:space="preserve"> </w:t>
      </w:r>
      <w:r w:rsidR="005B7327" w:rsidRPr="00E87BC4">
        <w:rPr>
          <w:rFonts w:ascii="Arial" w:hAnsi="Arial" w:cs="Arial"/>
          <w:lang w:val="en-GB"/>
        </w:rPr>
        <w:t>(</w:t>
      </w:r>
      <w:r w:rsidR="007645EA" w:rsidRPr="00E87BC4">
        <w:rPr>
          <w:rFonts w:ascii="Arial" w:hAnsi="Arial" w:cs="Arial"/>
          <w:lang w:val="en-GB"/>
        </w:rPr>
        <w:t>61</w:t>
      </w:r>
      <w:r w:rsidR="009125CB" w:rsidRPr="00E87BC4">
        <w:rPr>
          <w:rFonts w:ascii="Arial" w:hAnsi="Arial" w:cs="Arial"/>
          <w:lang w:val="en-GB"/>
        </w:rPr>
        <w:t>).</w:t>
      </w:r>
    </w:p>
    <w:p w14:paraId="535B4A3B" w14:textId="77777777" w:rsidR="005D3C80" w:rsidRPr="005F2054" w:rsidRDefault="005D3C80" w:rsidP="005F2054">
      <w:pPr>
        <w:spacing w:after="0"/>
        <w:contextualSpacing/>
        <w:rPr>
          <w:rFonts w:ascii="Arial" w:hAnsi="Arial" w:cs="Arial"/>
          <w:b/>
          <w:color w:val="C00000"/>
          <w:lang w:val="en-GB"/>
        </w:rPr>
      </w:pPr>
    </w:p>
    <w:p w14:paraId="763F1FE0" w14:textId="0A719F2D" w:rsidR="00E87BC4" w:rsidRPr="009D50F2" w:rsidRDefault="007A1F32" w:rsidP="005F2054">
      <w:pPr>
        <w:spacing w:after="0"/>
        <w:contextualSpacing/>
        <w:rPr>
          <w:rFonts w:ascii="Arial" w:hAnsi="Arial" w:cs="Arial"/>
          <w:color w:val="00B050"/>
          <w:shd w:val="clear" w:color="auto" w:fill="FFFFFF"/>
          <w:lang w:val="en-US"/>
        </w:rPr>
      </w:pPr>
      <w:r w:rsidRPr="009D50F2">
        <w:rPr>
          <w:rFonts w:ascii="Arial" w:hAnsi="Arial" w:cs="Arial"/>
          <w:b/>
          <w:color w:val="00B050"/>
          <w:lang w:val="en-GB"/>
        </w:rPr>
        <w:t xml:space="preserve">mTOR </w:t>
      </w:r>
      <w:r w:rsidR="003C7D73" w:rsidRPr="009D50F2">
        <w:rPr>
          <w:rFonts w:ascii="Arial" w:hAnsi="Arial" w:cs="Arial"/>
          <w:b/>
          <w:color w:val="00B050"/>
          <w:lang w:val="en-GB"/>
        </w:rPr>
        <w:t>I</w:t>
      </w:r>
      <w:r w:rsidR="00C4720B" w:rsidRPr="009D50F2">
        <w:rPr>
          <w:rFonts w:ascii="Arial" w:hAnsi="Arial" w:cs="Arial"/>
          <w:b/>
          <w:color w:val="00B050"/>
          <w:lang w:val="en-GB"/>
        </w:rPr>
        <w:t xml:space="preserve">mmunosuppressors: Sirolimus and </w:t>
      </w:r>
      <w:proofErr w:type="spellStart"/>
      <w:r w:rsidR="00C4720B" w:rsidRPr="009D50F2">
        <w:rPr>
          <w:rFonts w:ascii="Arial" w:hAnsi="Arial" w:cs="Arial"/>
          <w:b/>
          <w:color w:val="00B050"/>
          <w:lang w:val="en-GB"/>
        </w:rPr>
        <w:t>E</w:t>
      </w:r>
      <w:r w:rsidR="009D50F2" w:rsidRPr="009D50F2">
        <w:rPr>
          <w:rFonts w:ascii="Arial" w:hAnsi="Arial" w:cs="Arial"/>
          <w:b/>
          <w:color w:val="00B050"/>
          <w:lang w:val="en-GB"/>
        </w:rPr>
        <w:t>verolimus</w:t>
      </w:r>
      <w:proofErr w:type="spellEnd"/>
      <w:r w:rsidR="009D50F2" w:rsidRPr="009D50F2">
        <w:rPr>
          <w:rFonts w:ascii="Arial" w:hAnsi="Arial" w:cs="Arial"/>
          <w:b/>
          <w:color w:val="00B050"/>
          <w:lang w:val="en-GB"/>
        </w:rPr>
        <w:t xml:space="preserve"> </w:t>
      </w:r>
      <w:r w:rsidR="00EF3EBE" w:rsidRPr="009D50F2">
        <w:rPr>
          <w:rFonts w:ascii="Arial" w:hAnsi="Arial" w:cs="Arial"/>
          <w:color w:val="00B050"/>
          <w:shd w:val="clear" w:color="auto" w:fill="FFFFFF"/>
          <w:lang w:val="en-US"/>
        </w:rPr>
        <w:t xml:space="preserve"> </w:t>
      </w:r>
    </w:p>
    <w:p w14:paraId="76484C0B" w14:textId="77777777" w:rsidR="00E87BC4" w:rsidRDefault="00E87BC4" w:rsidP="005F2054">
      <w:pPr>
        <w:spacing w:after="0"/>
        <w:contextualSpacing/>
        <w:rPr>
          <w:rFonts w:ascii="Arial" w:hAnsi="Arial" w:cs="Arial"/>
          <w:color w:val="202124"/>
          <w:shd w:val="clear" w:color="auto" w:fill="FFFFFF"/>
          <w:lang w:val="en-US"/>
        </w:rPr>
      </w:pPr>
    </w:p>
    <w:p w14:paraId="4DC7F218" w14:textId="0BBD7B24" w:rsidR="002A6F03" w:rsidRDefault="00EF3EBE" w:rsidP="005F2054">
      <w:pPr>
        <w:spacing w:after="0"/>
        <w:contextualSpacing/>
        <w:rPr>
          <w:rFonts w:ascii="Arial" w:hAnsi="Arial" w:cs="Arial"/>
          <w:color w:val="202124"/>
          <w:shd w:val="clear" w:color="auto" w:fill="FFFFFF"/>
          <w:lang w:val="en-US"/>
        </w:rPr>
      </w:pPr>
      <w:r w:rsidRPr="005F2054">
        <w:rPr>
          <w:rFonts w:ascii="Arial" w:hAnsi="Arial" w:cs="Arial"/>
          <w:color w:val="202124"/>
          <w:shd w:val="clear" w:color="auto" w:fill="FFFFFF"/>
          <w:lang w:val="en-US"/>
        </w:rPr>
        <w:t>Both drugs, inhib</w:t>
      </w:r>
      <w:r w:rsidR="00851B68" w:rsidRPr="005F2054">
        <w:rPr>
          <w:rFonts w:ascii="Arial" w:hAnsi="Arial" w:cs="Arial"/>
          <w:color w:val="202124"/>
          <w:shd w:val="clear" w:color="auto" w:fill="FFFFFF"/>
          <w:lang w:val="en-US"/>
        </w:rPr>
        <w:t>it</w:t>
      </w:r>
      <w:r w:rsidRPr="005F2054">
        <w:rPr>
          <w:rFonts w:ascii="Arial" w:hAnsi="Arial" w:cs="Arial"/>
          <w:color w:val="202124"/>
          <w:shd w:val="clear" w:color="auto" w:fill="FFFFFF"/>
          <w:lang w:val="en-US"/>
        </w:rPr>
        <w:t xml:space="preserve">ed the activity of the mammalian target of rapamycin (mTOR) </w:t>
      </w:r>
      <w:r w:rsidRPr="005F2054">
        <w:rPr>
          <w:rFonts w:ascii="Arial" w:hAnsi="Arial" w:cs="Arial"/>
          <w:color w:val="040C28"/>
          <w:lang w:val="en-US"/>
        </w:rPr>
        <w:t xml:space="preserve">a </w:t>
      </w:r>
      <w:r w:rsidR="003E6818" w:rsidRPr="005F2054">
        <w:rPr>
          <w:rFonts w:ascii="Arial" w:hAnsi="Arial" w:cs="Arial"/>
          <w:color w:val="040C28"/>
          <w:lang w:val="en-US"/>
        </w:rPr>
        <w:t xml:space="preserve">key </w:t>
      </w:r>
      <w:r w:rsidRPr="005F2054">
        <w:rPr>
          <w:rFonts w:ascii="Arial" w:hAnsi="Arial" w:cs="Arial"/>
          <w:color w:val="040C28"/>
          <w:lang w:val="en-US"/>
        </w:rPr>
        <w:t xml:space="preserve">protein kinase </w:t>
      </w:r>
      <w:r w:rsidR="003E6818" w:rsidRPr="005F2054">
        <w:rPr>
          <w:rFonts w:ascii="Arial" w:hAnsi="Arial" w:cs="Arial"/>
          <w:color w:val="040C28"/>
          <w:lang w:val="en-US"/>
        </w:rPr>
        <w:t xml:space="preserve">involved in regulating </w:t>
      </w:r>
      <w:r w:rsidRPr="005F2054">
        <w:rPr>
          <w:rFonts w:ascii="Arial" w:hAnsi="Arial" w:cs="Arial"/>
          <w:color w:val="040C28"/>
          <w:lang w:val="en-US"/>
        </w:rPr>
        <w:t>cellular metabolism, catabolism, immune responses, autophagy, survival, proliferation, and migration, to maintain cellular homeostasis</w:t>
      </w:r>
      <w:r w:rsidRPr="005F2054">
        <w:rPr>
          <w:rFonts w:ascii="Arial" w:hAnsi="Arial" w:cs="Arial"/>
          <w:color w:val="202124"/>
          <w:shd w:val="clear" w:color="auto" w:fill="FFFFFF"/>
          <w:lang w:val="en-US"/>
        </w:rPr>
        <w:t xml:space="preserve">. </w:t>
      </w:r>
    </w:p>
    <w:p w14:paraId="794389C7" w14:textId="77777777" w:rsidR="009D50F2" w:rsidRPr="005F2054" w:rsidRDefault="009D50F2" w:rsidP="005F2054">
      <w:pPr>
        <w:spacing w:after="0"/>
        <w:contextualSpacing/>
        <w:rPr>
          <w:rFonts w:ascii="Arial" w:hAnsi="Arial" w:cs="Arial"/>
          <w:color w:val="202124"/>
          <w:shd w:val="clear" w:color="auto" w:fill="FFFFFF"/>
          <w:lang w:val="en-US"/>
        </w:rPr>
      </w:pPr>
    </w:p>
    <w:p w14:paraId="60A467B2" w14:textId="5961B965" w:rsidR="00C6028B" w:rsidRDefault="00056145" w:rsidP="005F2054">
      <w:pPr>
        <w:spacing w:after="0"/>
        <w:contextualSpacing/>
        <w:rPr>
          <w:rFonts w:ascii="Arial" w:hAnsi="Arial" w:cs="Arial"/>
          <w:shd w:val="clear" w:color="auto" w:fill="FFFFFF"/>
          <w:lang w:val="en-US"/>
        </w:rPr>
      </w:pPr>
      <w:r w:rsidRPr="005F2054">
        <w:rPr>
          <w:rFonts w:ascii="Arial" w:hAnsi="Arial" w:cs="Arial"/>
          <w:bCs/>
          <w:color w:val="202124"/>
          <w:shd w:val="clear" w:color="auto" w:fill="FFFFFF"/>
          <w:lang w:val="en-US"/>
        </w:rPr>
        <w:t xml:space="preserve">Sirolimus, </w:t>
      </w:r>
      <w:r w:rsidR="003E6818" w:rsidRPr="005F2054">
        <w:rPr>
          <w:rFonts w:ascii="Arial" w:hAnsi="Arial" w:cs="Arial"/>
          <w:bCs/>
          <w:color w:val="202124"/>
          <w:shd w:val="clear" w:color="auto" w:fill="FFFFFF"/>
          <w:lang w:val="en-US"/>
        </w:rPr>
        <w:t xml:space="preserve">also </w:t>
      </w:r>
      <w:r w:rsidRPr="005F2054">
        <w:rPr>
          <w:rFonts w:ascii="Arial" w:hAnsi="Arial" w:cs="Arial"/>
          <w:bCs/>
          <w:color w:val="202124"/>
          <w:shd w:val="clear" w:color="auto" w:fill="FFFFFF"/>
          <w:lang w:val="en-US"/>
        </w:rPr>
        <w:t>known</w:t>
      </w:r>
      <w:r w:rsidRPr="005F2054">
        <w:rPr>
          <w:rFonts w:ascii="Arial" w:hAnsi="Arial" w:cs="Arial"/>
          <w:color w:val="202124"/>
          <w:shd w:val="clear" w:color="auto" w:fill="FFFFFF"/>
          <w:lang w:val="en-US"/>
        </w:rPr>
        <w:t xml:space="preserve"> as rapamycin, has </w:t>
      </w:r>
      <w:r w:rsidR="009647D6">
        <w:rPr>
          <w:rFonts w:ascii="Arial" w:hAnsi="Arial" w:cs="Arial"/>
          <w:color w:val="202124"/>
          <w:shd w:val="clear" w:color="auto" w:fill="FFFFFF"/>
          <w:lang w:val="en-US"/>
        </w:rPr>
        <w:t>the</w:t>
      </w:r>
      <w:r w:rsidRPr="005F2054">
        <w:rPr>
          <w:rFonts w:ascii="Arial" w:hAnsi="Arial" w:cs="Arial"/>
          <w:color w:val="202124"/>
          <w:shd w:val="clear" w:color="auto" w:fill="FFFFFF"/>
          <w:lang w:val="en-US"/>
        </w:rPr>
        <w:t xml:space="preserve"> advantage of not causing nephrotoxicity. </w:t>
      </w:r>
      <w:r w:rsidR="00F607A1" w:rsidRPr="005F2054">
        <w:rPr>
          <w:rFonts w:ascii="Arial" w:hAnsi="Arial" w:cs="Arial"/>
          <w:color w:val="202124"/>
          <w:shd w:val="clear" w:color="auto" w:fill="FFFFFF"/>
          <w:lang w:val="en-US"/>
        </w:rPr>
        <w:t>In</w:t>
      </w:r>
      <w:r w:rsidR="005D4466" w:rsidRPr="005F2054">
        <w:rPr>
          <w:rFonts w:ascii="Arial" w:hAnsi="Arial" w:cs="Arial"/>
          <w:color w:val="202124"/>
          <w:shd w:val="clear" w:color="auto" w:fill="FFFFFF"/>
          <w:lang w:val="en-US"/>
        </w:rPr>
        <w:t>-</w:t>
      </w:r>
      <w:r w:rsidR="00F607A1" w:rsidRPr="005F2054">
        <w:rPr>
          <w:rFonts w:ascii="Arial" w:hAnsi="Arial" w:cs="Arial"/>
          <w:color w:val="202124"/>
          <w:shd w:val="clear" w:color="auto" w:fill="FFFFFF"/>
          <w:lang w:val="en-US"/>
        </w:rPr>
        <w:t>vitro</w:t>
      </w:r>
      <w:r w:rsidR="005D4466" w:rsidRPr="005F2054">
        <w:rPr>
          <w:rFonts w:ascii="Arial" w:hAnsi="Arial" w:cs="Arial"/>
          <w:color w:val="202124"/>
          <w:shd w:val="clear" w:color="auto" w:fill="FFFFFF"/>
          <w:lang w:val="en-US"/>
        </w:rPr>
        <w:t xml:space="preserve">, </w:t>
      </w:r>
      <w:r w:rsidR="00F607A1" w:rsidRPr="005F2054">
        <w:rPr>
          <w:rFonts w:ascii="Arial" w:hAnsi="Arial" w:cs="Arial"/>
          <w:color w:val="202124"/>
          <w:shd w:val="clear" w:color="auto" w:fill="FFFFFF"/>
          <w:lang w:val="en-US"/>
        </w:rPr>
        <w:t xml:space="preserve">Sirolimus </w:t>
      </w:r>
      <w:r w:rsidR="003E6818" w:rsidRPr="005F2054">
        <w:rPr>
          <w:rFonts w:ascii="Arial" w:hAnsi="Arial" w:cs="Arial"/>
          <w:color w:val="202124"/>
          <w:shd w:val="clear" w:color="auto" w:fill="FFFFFF"/>
          <w:lang w:val="en-US"/>
        </w:rPr>
        <w:t>inhibits the</w:t>
      </w:r>
      <w:r w:rsidR="00F607A1" w:rsidRPr="005F2054">
        <w:rPr>
          <w:rFonts w:ascii="Arial" w:hAnsi="Arial" w:cs="Arial"/>
          <w:color w:val="202124"/>
          <w:shd w:val="clear" w:color="auto" w:fill="FFFFFF"/>
          <w:lang w:val="en-US"/>
        </w:rPr>
        <w:t xml:space="preserve"> proliferation and differentiation of osteo</w:t>
      </w:r>
      <w:r w:rsidR="00C24CA0">
        <w:rPr>
          <w:rFonts w:ascii="Arial" w:hAnsi="Arial" w:cs="Arial"/>
          <w:color w:val="202124"/>
          <w:shd w:val="clear" w:color="auto" w:fill="FFFFFF"/>
          <w:lang w:val="en-US"/>
        </w:rPr>
        <w:t>c</w:t>
      </w:r>
      <w:r w:rsidR="00F607A1" w:rsidRPr="005F2054">
        <w:rPr>
          <w:rFonts w:ascii="Arial" w:hAnsi="Arial" w:cs="Arial"/>
          <w:color w:val="202124"/>
          <w:shd w:val="clear" w:color="auto" w:fill="FFFFFF"/>
          <w:lang w:val="en-US"/>
        </w:rPr>
        <w:t>last</w:t>
      </w:r>
      <w:r w:rsidR="001D63E2">
        <w:rPr>
          <w:rFonts w:ascii="Arial" w:hAnsi="Arial" w:cs="Arial"/>
          <w:color w:val="202124"/>
          <w:shd w:val="clear" w:color="auto" w:fill="FFFFFF"/>
          <w:lang w:val="en-US"/>
        </w:rPr>
        <w:t>s</w:t>
      </w:r>
      <w:r w:rsidR="003E6818" w:rsidRPr="005F2054">
        <w:rPr>
          <w:rFonts w:ascii="Arial" w:hAnsi="Arial" w:cs="Arial"/>
          <w:color w:val="202124"/>
          <w:shd w:val="clear" w:color="auto" w:fill="FFFFFF"/>
          <w:lang w:val="en-US"/>
        </w:rPr>
        <w:t xml:space="preserve">, making it a potential bone-sparing </w:t>
      </w:r>
      <w:r w:rsidR="003E6818" w:rsidRPr="009D50F2">
        <w:rPr>
          <w:rFonts w:ascii="Arial" w:hAnsi="Arial" w:cs="Arial"/>
          <w:shd w:val="clear" w:color="auto" w:fill="FFFFFF"/>
          <w:lang w:val="en-US"/>
        </w:rPr>
        <w:t xml:space="preserve">agent </w:t>
      </w:r>
      <w:r w:rsidR="00F607A1" w:rsidRPr="009D50F2">
        <w:rPr>
          <w:rFonts w:ascii="Arial" w:hAnsi="Arial" w:cs="Arial"/>
          <w:shd w:val="clear" w:color="auto" w:fill="FFFFFF"/>
          <w:lang w:val="en-US"/>
        </w:rPr>
        <w:t>(</w:t>
      </w:r>
      <w:r w:rsidR="002A6F03" w:rsidRPr="009D50F2">
        <w:rPr>
          <w:rFonts w:ascii="Arial" w:hAnsi="Arial" w:cs="Arial"/>
          <w:shd w:val="clear" w:color="auto" w:fill="FFFFFF"/>
          <w:lang w:val="en-US"/>
        </w:rPr>
        <w:t>61</w:t>
      </w:r>
      <w:r w:rsidR="00F607A1" w:rsidRPr="009D50F2">
        <w:rPr>
          <w:rFonts w:ascii="Arial" w:hAnsi="Arial" w:cs="Arial"/>
          <w:shd w:val="clear" w:color="auto" w:fill="FFFFFF"/>
          <w:lang w:val="en-US"/>
        </w:rPr>
        <w:t>).</w:t>
      </w:r>
      <w:r w:rsidR="00347B95" w:rsidRPr="009D50F2">
        <w:rPr>
          <w:rFonts w:ascii="Arial" w:hAnsi="Arial" w:cs="Arial"/>
          <w:shd w:val="clear" w:color="auto" w:fill="FFFFFF"/>
          <w:lang w:val="en-US"/>
        </w:rPr>
        <w:t xml:space="preserve"> </w:t>
      </w:r>
      <w:r w:rsidR="00860D23" w:rsidRPr="009D50F2">
        <w:rPr>
          <w:rFonts w:ascii="Arial" w:hAnsi="Arial" w:cs="Arial"/>
          <w:shd w:val="clear" w:color="auto" w:fill="FFFFFF"/>
          <w:lang w:val="en-US"/>
        </w:rPr>
        <w:t xml:space="preserve">Additionally, lower bone </w:t>
      </w:r>
      <w:r w:rsidR="00347B95" w:rsidRPr="009D50F2">
        <w:rPr>
          <w:rFonts w:ascii="Arial" w:hAnsi="Arial" w:cs="Arial"/>
          <w:shd w:val="clear" w:color="auto" w:fill="FFFFFF"/>
          <w:lang w:val="en-US"/>
        </w:rPr>
        <w:t xml:space="preserve">resorption </w:t>
      </w:r>
      <w:r w:rsidR="00860D23" w:rsidRPr="009D50F2">
        <w:rPr>
          <w:rFonts w:ascii="Arial" w:hAnsi="Arial" w:cs="Arial"/>
          <w:shd w:val="clear" w:color="auto" w:fill="FFFFFF"/>
          <w:lang w:val="en-US"/>
        </w:rPr>
        <w:t>markers observed in a study of renal transplant recipients suggest that this drug helps preserve bone mineral density (62). However, potential side effects seen in animal studies</w:t>
      </w:r>
      <w:r w:rsidR="003E28A3">
        <w:rPr>
          <w:rFonts w:ascii="Arial" w:hAnsi="Arial" w:cs="Arial"/>
          <w:shd w:val="clear" w:color="auto" w:fill="FFFFFF"/>
          <w:lang w:val="en-US"/>
        </w:rPr>
        <w:t>,</w:t>
      </w:r>
      <w:r w:rsidR="00860D23" w:rsidRPr="009D50F2">
        <w:rPr>
          <w:rFonts w:ascii="Arial" w:hAnsi="Arial" w:cs="Arial"/>
          <w:shd w:val="clear" w:color="auto" w:fill="FFFFFF"/>
          <w:lang w:val="en-US"/>
        </w:rPr>
        <w:t xml:space="preserve"> including </w:t>
      </w:r>
      <w:r w:rsidR="00347B95" w:rsidRPr="009D50F2">
        <w:rPr>
          <w:rFonts w:ascii="Arial" w:hAnsi="Arial" w:cs="Arial"/>
          <w:shd w:val="clear" w:color="auto" w:fill="FFFFFF"/>
          <w:lang w:val="en-US"/>
        </w:rPr>
        <w:t>impair</w:t>
      </w:r>
      <w:r w:rsidR="00860D23" w:rsidRPr="009D50F2">
        <w:rPr>
          <w:rFonts w:ascii="Arial" w:hAnsi="Arial" w:cs="Arial"/>
          <w:shd w:val="clear" w:color="auto" w:fill="FFFFFF"/>
          <w:lang w:val="en-US"/>
        </w:rPr>
        <w:t>ed</w:t>
      </w:r>
      <w:r w:rsidR="00347B95" w:rsidRPr="009D50F2">
        <w:rPr>
          <w:rFonts w:ascii="Arial" w:hAnsi="Arial" w:cs="Arial"/>
          <w:shd w:val="clear" w:color="auto" w:fill="FFFFFF"/>
          <w:lang w:val="en-US"/>
        </w:rPr>
        <w:t xml:space="preserve"> growth, delay</w:t>
      </w:r>
      <w:r w:rsidR="00860D23" w:rsidRPr="009D50F2">
        <w:rPr>
          <w:rFonts w:ascii="Arial" w:hAnsi="Arial" w:cs="Arial"/>
          <w:shd w:val="clear" w:color="auto" w:fill="FFFFFF"/>
          <w:lang w:val="en-US"/>
        </w:rPr>
        <w:t xml:space="preserve">ed </w:t>
      </w:r>
      <w:r w:rsidR="00347B95" w:rsidRPr="009D50F2">
        <w:rPr>
          <w:rFonts w:ascii="Arial" w:hAnsi="Arial" w:cs="Arial"/>
          <w:shd w:val="clear" w:color="auto" w:fill="FFFFFF"/>
          <w:lang w:val="en-US"/>
        </w:rPr>
        <w:t xml:space="preserve">callus formation, </w:t>
      </w:r>
      <w:r w:rsidR="00860D23" w:rsidRPr="009D50F2">
        <w:rPr>
          <w:rFonts w:ascii="Arial" w:hAnsi="Arial" w:cs="Arial"/>
          <w:shd w:val="clear" w:color="auto" w:fill="FFFFFF"/>
          <w:lang w:val="en-US"/>
        </w:rPr>
        <w:t xml:space="preserve">and interference </w:t>
      </w:r>
      <w:r w:rsidR="00133292" w:rsidRPr="009D50F2">
        <w:rPr>
          <w:rFonts w:ascii="Arial" w:hAnsi="Arial" w:cs="Arial"/>
          <w:shd w:val="clear" w:color="auto" w:fill="FFFFFF"/>
          <w:lang w:val="en-US"/>
        </w:rPr>
        <w:t>with IGF1</w:t>
      </w:r>
      <w:r w:rsidR="00860D23" w:rsidRPr="009D50F2">
        <w:rPr>
          <w:rFonts w:ascii="Arial" w:hAnsi="Arial" w:cs="Arial"/>
          <w:shd w:val="clear" w:color="auto" w:fill="FFFFFF"/>
          <w:lang w:val="en-US"/>
        </w:rPr>
        <w:t>- indicat</w:t>
      </w:r>
      <w:r w:rsidR="003E28A3">
        <w:rPr>
          <w:rFonts w:ascii="Arial" w:hAnsi="Arial" w:cs="Arial"/>
          <w:shd w:val="clear" w:color="auto" w:fill="FFFFFF"/>
          <w:lang w:val="en-US"/>
        </w:rPr>
        <w:t>ing</w:t>
      </w:r>
      <w:r w:rsidR="00860D23" w:rsidRPr="009D50F2">
        <w:rPr>
          <w:rFonts w:ascii="Arial" w:hAnsi="Arial" w:cs="Arial"/>
          <w:shd w:val="clear" w:color="auto" w:fill="FFFFFF"/>
          <w:lang w:val="en-US"/>
        </w:rPr>
        <w:t xml:space="preserve"> that sirolimus should be used with caution in </w:t>
      </w:r>
      <w:r w:rsidR="00347B95" w:rsidRPr="009D50F2">
        <w:rPr>
          <w:rFonts w:ascii="Arial" w:hAnsi="Arial" w:cs="Arial"/>
          <w:shd w:val="clear" w:color="auto" w:fill="FFFFFF"/>
          <w:lang w:val="en-US"/>
        </w:rPr>
        <w:t>clinical practice (6</w:t>
      </w:r>
      <w:r w:rsidR="00C6028B" w:rsidRPr="009D50F2">
        <w:rPr>
          <w:rFonts w:ascii="Arial" w:hAnsi="Arial" w:cs="Arial"/>
          <w:shd w:val="clear" w:color="auto" w:fill="FFFFFF"/>
          <w:lang w:val="en-US"/>
        </w:rPr>
        <w:t>3</w:t>
      </w:r>
      <w:r w:rsidR="00347B95" w:rsidRPr="009D50F2">
        <w:rPr>
          <w:rFonts w:ascii="Arial" w:hAnsi="Arial" w:cs="Arial"/>
          <w:shd w:val="clear" w:color="auto" w:fill="FFFFFF"/>
          <w:lang w:val="en-US"/>
        </w:rPr>
        <w:t xml:space="preserve">). </w:t>
      </w:r>
    </w:p>
    <w:p w14:paraId="1059A4F3" w14:textId="77777777" w:rsidR="00E471EB" w:rsidRPr="009D50F2" w:rsidRDefault="00E471EB" w:rsidP="005F2054">
      <w:pPr>
        <w:spacing w:after="0"/>
        <w:contextualSpacing/>
        <w:rPr>
          <w:rFonts w:ascii="Arial" w:hAnsi="Arial" w:cs="Arial"/>
          <w:shd w:val="clear" w:color="auto" w:fill="FFFFFF"/>
          <w:lang w:val="en-US"/>
        </w:rPr>
      </w:pPr>
    </w:p>
    <w:p w14:paraId="578C0AA8" w14:textId="15122D0A" w:rsidR="00851B68" w:rsidRPr="00E471EB" w:rsidRDefault="00851B68" w:rsidP="005F2054">
      <w:pPr>
        <w:spacing w:after="0"/>
        <w:contextualSpacing/>
        <w:rPr>
          <w:rFonts w:ascii="Arial" w:hAnsi="Arial" w:cs="Arial"/>
          <w:shd w:val="clear" w:color="auto" w:fill="FFFFFF"/>
          <w:lang w:val="en-US"/>
        </w:rPr>
      </w:pPr>
      <w:proofErr w:type="spellStart"/>
      <w:r w:rsidRPr="005F2054">
        <w:rPr>
          <w:rFonts w:ascii="Arial" w:hAnsi="Arial" w:cs="Arial"/>
          <w:bCs/>
          <w:color w:val="202124"/>
          <w:shd w:val="clear" w:color="auto" w:fill="FFFFFF"/>
          <w:lang w:val="en-US"/>
        </w:rPr>
        <w:t>Everolimus</w:t>
      </w:r>
      <w:proofErr w:type="spellEnd"/>
      <w:r w:rsidRPr="005F2054">
        <w:rPr>
          <w:rFonts w:ascii="Arial" w:hAnsi="Arial" w:cs="Arial"/>
          <w:bCs/>
          <w:color w:val="202124"/>
          <w:shd w:val="clear" w:color="auto" w:fill="FFFFFF"/>
          <w:lang w:val="en-US"/>
        </w:rPr>
        <w:t xml:space="preserve"> </w:t>
      </w:r>
      <w:r w:rsidRPr="005F2054">
        <w:rPr>
          <w:rFonts w:ascii="Arial" w:hAnsi="Arial" w:cs="Arial"/>
          <w:color w:val="202124"/>
          <w:shd w:val="clear" w:color="auto" w:fill="FFFFFF"/>
          <w:lang w:val="en-US"/>
        </w:rPr>
        <w:t xml:space="preserve">is a derivative of rapamycin, targets the mTOR </w:t>
      </w:r>
      <w:r w:rsidR="00860D23" w:rsidRPr="005F2054">
        <w:rPr>
          <w:rFonts w:ascii="Arial" w:hAnsi="Arial" w:cs="Arial"/>
          <w:color w:val="202124"/>
          <w:shd w:val="clear" w:color="auto" w:fill="FFFFFF"/>
          <w:lang w:val="en-US"/>
        </w:rPr>
        <w:t>pathway</w:t>
      </w:r>
      <w:r w:rsidR="003E28A3">
        <w:rPr>
          <w:rFonts w:ascii="Arial" w:hAnsi="Arial" w:cs="Arial"/>
          <w:color w:val="202124"/>
          <w:shd w:val="clear" w:color="auto" w:fill="FFFFFF"/>
          <w:lang w:val="en-US"/>
        </w:rPr>
        <w:t>,</w:t>
      </w:r>
      <w:r w:rsidR="00860D23" w:rsidRPr="005F2054">
        <w:rPr>
          <w:rFonts w:ascii="Arial" w:hAnsi="Arial" w:cs="Arial"/>
          <w:color w:val="202124"/>
          <w:shd w:val="clear" w:color="auto" w:fill="FFFFFF"/>
          <w:lang w:val="en-US"/>
        </w:rPr>
        <w:t xml:space="preserve"> </w:t>
      </w:r>
      <w:r w:rsidR="00B172DE" w:rsidRPr="005F2054">
        <w:rPr>
          <w:rFonts w:ascii="Arial" w:hAnsi="Arial" w:cs="Arial"/>
          <w:color w:val="202124"/>
          <w:shd w:val="clear" w:color="auto" w:fill="FFFFFF"/>
          <w:lang w:val="en-US"/>
        </w:rPr>
        <w:t>and inhibit</w:t>
      </w:r>
      <w:r w:rsidR="00E77D0C" w:rsidRPr="005F2054">
        <w:rPr>
          <w:rFonts w:ascii="Arial" w:hAnsi="Arial" w:cs="Arial"/>
          <w:color w:val="202124"/>
          <w:shd w:val="clear" w:color="auto" w:fill="FFFFFF"/>
          <w:lang w:val="en-US"/>
        </w:rPr>
        <w:t>s</w:t>
      </w:r>
      <w:r w:rsidR="00B172DE" w:rsidRPr="005F2054">
        <w:rPr>
          <w:rFonts w:ascii="Arial" w:hAnsi="Arial" w:cs="Arial"/>
          <w:color w:val="202124"/>
          <w:shd w:val="clear" w:color="auto" w:fill="FFFFFF"/>
          <w:lang w:val="en-US"/>
        </w:rPr>
        <w:t xml:space="preserve"> interleukin-2 (IL”)-induced cell prolifer</w:t>
      </w:r>
      <w:r w:rsidR="00E77D0C" w:rsidRPr="005F2054">
        <w:rPr>
          <w:rFonts w:ascii="Arial" w:hAnsi="Arial" w:cs="Arial"/>
          <w:color w:val="202124"/>
          <w:shd w:val="clear" w:color="auto" w:fill="FFFFFF"/>
          <w:lang w:val="en-US"/>
        </w:rPr>
        <w:t>a</w:t>
      </w:r>
      <w:r w:rsidR="00B172DE" w:rsidRPr="005F2054">
        <w:rPr>
          <w:rFonts w:ascii="Arial" w:hAnsi="Arial" w:cs="Arial"/>
          <w:color w:val="202124"/>
          <w:shd w:val="clear" w:color="auto" w:fill="FFFFFF"/>
          <w:lang w:val="en-US"/>
        </w:rPr>
        <w:t>tion</w:t>
      </w:r>
      <w:r w:rsidR="00860D23" w:rsidRPr="005F2054">
        <w:rPr>
          <w:rFonts w:ascii="Arial" w:hAnsi="Arial" w:cs="Arial"/>
          <w:color w:val="202124"/>
          <w:shd w:val="clear" w:color="auto" w:fill="FFFFFF"/>
          <w:lang w:val="en-US"/>
        </w:rPr>
        <w:t>, thereby suppressing the</w:t>
      </w:r>
      <w:r w:rsidR="00B172DE" w:rsidRPr="005F2054">
        <w:rPr>
          <w:rFonts w:ascii="Arial" w:hAnsi="Arial" w:cs="Arial"/>
          <w:color w:val="202124"/>
          <w:shd w:val="clear" w:color="auto" w:fill="FFFFFF"/>
          <w:lang w:val="en-US"/>
        </w:rPr>
        <w:t xml:space="preserve"> immune response</w:t>
      </w:r>
      <w:r w:rsidR="00C6028B" w:rsidRPr="005F2054">
        <w:rPr>
          <w:rFonts w:ascii="Arial" w:hAnsi="Arial" w:cs="Arial"/>
          <w:color w:val="202124"/>
          <w:shd w:val="clear" w:color="auto" w:fill="FFFFFF"/>
          <w:lang w:val="en-US"/>
        </w:rPr>
        <w:t>.</w:t>
      </w:r>
      <w:r w:rsidR="00C46FBD" w:rsidRPr="005F2054">
        <w:rPr>
          <w:rFonts w:ascii="Arial" w:hAnsi="Arial" w:cs="Arial"/>
          <w:color w:val="FF0000"/>
          <w:shd w:val="clear" w:color="auto" w:fill="FFFFFF"/>
          <w:lang w:val="en-US"/>
        </w:rPr>
        <w:t xml:space="preserve"> </w:t>
      </w:r>
      <w:r w:rsidR="00C46FBD" w:rsidRPr="005F2054">
        <w:rPr>
          <w:rFonts w:ascii="Arial" w:hAnsi="Arial" w:cs="Arial"/>
          <w:color w:val="202124"/>
          <w:shd w:val="clear" w:color="auto" w:fill="FFFFFF"/>
          <w:lang w:val="en-US"/>
        </w:rPr>
        <w:t xml:space="preserve">Using </w:t>
      </w:r>
      <w:r w:rsidR="00BB6C36" w:rsidRPr="005F2054">
        <w:rPr>
          <w:rFonts w:ascii="Arial" w:hAnsi="Arial" w:cs="Arial"/>
          <w:color w:val="202124"/>
          <w:shd w:val="clear" w:color="auto" w:fill="FFFFFF"/>
          <w:lang w:val="en-US"/>
        </w:rPr>
        <w:t xml:space="preserve">mouse </w:t>
      </w:r>
      <w:r w:rsidR="00BB6C36" w:rsidRPr="00E471EB">
        <w:rPr>
          <w:rFonts w:ascii="Arial" w:hAnsi="Arial" w:cs="Arial"/>
          <w:shd w:val="clear" w:color="auto" w:fill="FFFFFF"/>
          <w:lang w:val="en-US"/>
        </w:rPr>
        <w:t xml:space="preserve">models </w:t>
      </w:r>
      <w:proofErr w:type="spellStart"/>
      <w:r w:rsidR="004333FC" w:rsidRPr="00E471EB">
        <w:rPr>
          <w:rFonts w:ascii="Arial" w:hAnsi="Arial" w:cs="Arial"/>
          <w:shd w:val="clear" w:color="auto" w:fill="FFFFFF"/>
          <w:lang w:val="en-US"/>
        </w:rPr>
        <w:t>everolimus</w:t>
      </w:r>
      <w:proofErr w:type="spellEnd"/>
      <w:r w:rsidR="00C46FBD" w:rsidRPr="00E471EB">
        <w:rPr>
          <w:rFonts w:ascii="Arial" w:hAnsi="Arial" w:cs="Arial"/>
          <w:shd w:val="clear" w:color="auto" w:fill="FFFFFF"/>
          <w:lang w:val="en-US"/>
        </w:rPr>
        <w:t xml:space="preserve"> has </w:t>
      </w:r>
      <w:r w:rsidR="00860D23" w:rsidRPr="00E471EB">
        <w:rPr>
          <w:rFonts w:ascii="Arial" w:hAnsi="Arial" w:cs="Arial"/>
          <w:shd w:val="clear" w:color="auto" w:fill="FFFFFF"/>
          <w:lang w:val="en-US"/>
        </w:rPr>
        <w:t xml:space="preserve">been shown to act as </w:t>
      </w:r>
      <w:r w:rsidR="00C46FBD" w:rsidRPr="00E471EB">
        <w:rPr>
          <w:rFonts w:ascii="Arial" w:hAnsi="Arial" w:cs="Arial"/>
          <w:shd w:val="clear" w:color="auto" w:fill="FFFFFF"/>
          <w:lang w:val="en-US"/>
        </w:rPr>
        <w:t>a potent inhibitor of osteoclast formation and activity</w:t>
      </w:r>
      <w:r w:rsidR="00BB6C36" w:rsidRPr="00E471EB">
        <w:rPr>
          <w:rFonts w:ascii="Arial" w:hAnsi="Arial" w:cs="Arial"/>
          <w:shd w:val="clear" w:color="auto" w:fill="FFFFFF"/>
          <w:lang w:val="en-US"/>
        </w:rPr>
        <w:t xml:space="preserve"> (6</w:t>
      </w:r>
      <w:r w:rsidR="00C6028B" w:rsidRPr="00E471EB">
        <w:rPr>
          <w:rFonts w:ascii="Arial" w:hAnsi="Arial" w:cs="Arial"/>
          <w:shd w:val="clear" w:color="auto" w:fill="FFFFFF"/>
          <w:lang w:val="en-US"/>
        </w:rPr>
        <w:t>4).</w:t>
      </w:r>
    </w:p>
    <w:p w14:paraId="703B925F" w14:textId="77777777" w:rsidR="005D3C80" w:rsidRPr="005F2054" w:rsidRDefault="005D3C80" w:rsidP="005F2054">
      <w:pPr>
        <w:spacing w:after="0"/>
        <w:contextualSpacing/>
        <w:rPr>
          <w:rFonts w:ascii="Arial" w:hAnsi="Arial" w:cs="Arial"/>
          <w:b/>
          <w:color w:val="C00000"/>
          <w:lang w:val="en-GB"/>
        </w:rPr>
      </w:pPr>
    </w:p>
    <w:p w14:paraId="7E637CAA" w14:textId="26B05848" w:rsidR="00AD5B31" w:rsidRPr="00A44FE3" w:rsidRDefault="003C7D73" w:rsidP="005F2054">
      <w:pPr>
        <w:spacing w:after="0"/>
        <w:contextualSpacing/>
        <w:rPr>
          <w:rFonts w:ascii="Arial" w:hAnsi="Arial" w:cs="Arial"/>
          <w:b/>
          <w:color w:val="00B050"/>
          <w:lang w:val="en-GB"/>
        </w:rPr>
      </w:pPr>
      <w:r w:rsidRPr="00A44FE3">
        <w:rPr>
          <w:rFonts w:ascii="Arial" w:hAnsi="Arial" w:cs="Arial"/>
          <w:b/>
          <w:color w:val="00B050"/>
          <w:lang w:val="en-GB"/>
        </w:rPr>
        <w:lastRenderedPageBreak/>
        <w:t>O</w:t>
      </w:r>
      <w:r w:rsidR="00E471EB" w:rsidRPr="00A44FE3">
        <w:rPr>
          <w:rFonts w:ascii="Arial" w:hAnsi="Arial" w:cs="Arial"/>
          <w:b/>
          <w:color w:val="00B050"/>
          <w:lang w:val="en-GB"/>
        </w:rPr>
        <w:t>ther Immunosuppresso</w:t>
      </w:r>
      <w:r w:rsidR="00EF6FF3" w:rsidRPr="00A44FE3">
        <w:rPr>
          <w:rFonts w:ascii="Arial" w:hAnsi="Arial" w:cs="Arial"/>
          <w:b/>
          <w:color w:val="00B050"/>
          <w:lang w:val="en-GB"/>
        </w:rPr>
        <w:t xml:space="preserve">rs: </w:t>
      </w:r>
      <w:r w:rsidRPr="00A44FE3">
        <w:rPr>
          <w:rFonts w:ascii="Arial" w:hAnsi="Arial" w:cs="Arial"/>
          <w:b/>
          <w:color w:val="00B050"/>
          <w:lang w:val="en-GB"/>
        </w:rPr>
        <w:t>M</w:t>
      </w:r>
      <w:r w:rsidR="00EF6FF3" w:rsidRPr="00A44FE3">
        <w:rPr>
          <w:rFonts w:ascii="Arial" w:hAnsi="Arial" w:cs="Arial"/>
          <w:b/>
          <w:color w:val="00B050"/>
          <w:lang w:val="en-GB"/>
        </w:rPr>
        <w:t xml:space="preserve">ycophenolate Mofetil </w:t>
      </w:r>
      <w:r w:rsidRPr="00A44FE3">
        <w:rPr>
          <w:rFonts w:ascii="Arial" w:hAnsi="Arial" w:cs="Arial"/>
          <w:b/>
          <w:color w:val="00B050"/>
          <w:lang w:val="en-GB"/>
        </w:rPr>
        <w:t xml:space="preserve">(Mn) </w:t>
      </w:r>
      <w:r w:rsidR="00EF6FF3" w:rsidRPr="00A44FE3">
        <w:rPr>
          <w:rFonts w:ascii="Arial" w:hAnsi="Arial" w:cs="Arial"/>
          <w:b/>
          <w:color w:val="00B050"/>
          <w:lang w:val="en-GB"/>
        </w:rPr>
        <w:t>and</w:t>
      </w:r>
      <w:r w:rsidRPr="00A44FE3">
        <w:rPr>
          <w:rFonts w:ascii="Arial" w:hAnsi="Arial" w:cs="Arial"/>
          <w:b/>
          <w:color w:val="00B050"/>
          <w:lang w:val="en-GB"/>
        </w:rPr>
        <w:t xml:space="preserve"> A</w:t>
      </w:r>
      <w:r w:rsidR="00A44FE3" w:rsidRPr="00A44FE3">
        <w:rPr>
          <w:rFonts w:ascii="Arial" w:hAnsi="Arial" w:cs="Arial"/>
          <w:b/>
          <w:color w:val="00B050"/>
          <w:lang w:val="en-GB"/>
        </w:rPr>
        <w:t xml:space="preserve">zathioprine </w:t>
      </w:r>
      <w:r w:rsidRPr="00A44FE3">
        <w:rPr>
          <w:rFonts w:ascii="Arial" w:hAnsi="Arial" w:cs="Arial"/>
          <w:b/>
          <w:color w:val="00B050"/>
          <w:lang w:val="en-GB"/>
        </w:rPr>
        <w:t xml:space="preserve"> </w:t>
      </w:r>
    </w:p>
    <w:p w14:paraId="1F521D0F" w14:textId="77777777" w:rsidR="00E471EB" w:rsidRDefault="00E471EB" w:rsidP="005F2054">
      <w:pPr>
        <w:spacing w:after="0"/>
        <w:contextualSpacing/>
        <w:rPr>
          <w:rFonts w:ascii="Arial" w:hAnsi="Arial" w:cs="Arial"/>
          <w:lang w:val="en-GB"/>
        </w:rPr>
      </w:pPr>
    </w:p>
    <w:p w14:paraId="3057FDFB" w14:textId="6B6C23FD" w:rsidR="005D153D" w:rsidRDefault="00BC461A" w:rsidP="005F2054">
      <w:pPr>
        <w:spacing w:after="0"/>
        <w:contextualSpacing/>
        <w:rPr>
          <w:rFonts w:ascii="Arial" w:hAnsi="Arial" w:cs="Arial"/>
          <w:color w:val="212121"/>
          <w:shd w:val="clear" w:color="auto" w:fill="FFFFFF"/>
          <w:lang w:val="en-US"/>
        </w:rPr>
      </w:pPr>
      <w:r w:rsidRPr="005F2054">
        <w:rPr>
          <w:rFonts w:ascii="Arial" w:hAnsi="Arial" w:cs="Arial"/>
          <w:lang w:val="en-GB"/>
        </w:rPr>
        <w:t>Mn inhibits B and T lymphocyte proliferation</w:t>
      </w:r>
      <w:r w:rsidR="00AD5B31" w:rsidRPr="005F2054">
        <w:rPr>
          <w:rFonts w:ascii="Arial" w:hAnsi="Arial" w:cs="Arial"/>
          <w:lang w:val="en-GB"/>
        </w:rPr>
        <w:t xml:space="preserve"> while</w:t>
      </w:r>
      <w:r w:rsidRPr="005F2054">
        <w:rPr>
          <w:rFonts w:ascii="Arial" w:hAnsi="Arial" w:cs="Arial"/>
          <w:lang w:val="en-GB"/>
        </w:rPr>
        <w:t xml:space="preserve"> azathioprine,</w:t>
      </w:r>
      <w:r w:rsidR="00FF5533">
        <w:rPr>
          <w:rFonts w:ascii="Arial" w:hAnsi="Arial" w:cs="Arial"/>
          <w:lang w:val="en-GB"/>
        </w:rPr>
        <w:t xml:space="preserve"> </w:t>
      </w:r>
      <w:r w:rsidRPr="005F2054">
        <w:rPr>
          <w:rFonts w:ascii="Arial" w:hAnsi="Arial" w:cs="Arial"/>
          <w:lang w:val="en-GB"/>
        </w:rPr>
        <w:t>a purine antagonist,</w:t>
      </w:r>
      <w:r w:rsidR="005D153D" w:rsidRPr="005F2054">
        <w:rPr>
          <w:rFonts w:ascii="Arial" w:hAnsi="Arial" w:cs="Arial"/>
          <w:lang w:val="en-GB"/>
        </w:rPr>
        <w:t xml:space="preserve"> </w:t>
      </w:r>
      <w:r w:rsidR="00EF4F72" w:rsidRPr="005F2054">
        <w:rPr>
          <w:rFonts w:ascii="Arial" w:hAnsi="Arial" w:cs="Arial"/>
          <w:lang w:val="en-GB"/>
        </w:rPr>
        <w:t>reduce</w:t>
      </w:r>
      <w:r w:rsidR="005D153D" w:rsidRPr="005F2054">
        <w:rPr>
          <w:rFonts w:ascii="Arial" w:hAnsi="Arial" w:cs="Arial"/>
          <w:lang w:val="en-GB"/>
        </w:rPr>
        <w:t xml:space="preserve"> </w:t>
      </w:r>
      <w:r w:rsidRPr="005F2054">
        <w:rPr>
          <w:rFonts w:ascii="Arial" w:hAnsi="Arial" w:cs="Arial"/>
          <w:lang w:val="en-GB"/>
        </w:rPr>
        <w:t xml:space="preserve">lymphocyte </w:t>
      </w:r>
      <w:r w:rsidR="00AD5B31" w:rsidRPr="005F2054">
        <w:rPr>
          <w:rFonts w:ascii="Arial" w:hAnsi="Arial" w:cs="Arial"/>
          <w:lang w:val="en-GB"/>
        </w:rPr>
        <w:t xml:space="preserve">count </w:t>
      </w:r>
      <w:r w:rsidRPr="005F2054">
        <w:rPr>
          <w:rFonts w:ascii="Arial" w:hAnsi="Arial" w:cs="Arial"/>
          <w:lang w:val="en-GB"/>
        </w:rPr>
        <w:t xml:space="preserve">and immunoglobulin synthesis. </w:t>
      </w:r>
      <w:r w:rsidR="00457497" w:rsidRPr="005F2054">
        <w:rPr>
          <w:rFonts w:ascii="Arial" w:hAnsi="Arial" w:cs="Arial"/>
          <w:lang w:val="en-GB"/>
        </w:rPr>
        <w:t xml:space="preserve">In animal studies, </w:t>
      </w:r>
      <w:r w:rsidR="00AD5B31" w:rsidRPr="005F2054">
        <w:rPr>
          <w:rFonts w:ascii="Arial" w:hAnsi="Arial" w:cs="Arial"/>
          <w:lang w:val="en-GB"/>
        </w:rPr>
        <w:t>neither drug</w:t>
      </w:r>
      <w:r w:rsidRPr="005F2054">
        <w:rPr>
          <w:rFonts w:ascii="Arial" w:hAnsi="Arial" w:cs="Arial"/>
          <w:lang w:val="en-GB"/>
        </w:rPr>
        <w:t xml:space="preserve"> </w:t>
      </w:r>
      <w:r w:rsidR="00AD5B31" w:rsidRPr="005F2054">
        <w:rPr>
          <w:rFonts w:ascii="Arial" w:hAnsi="Arial" w:cs="Arial"/>
          <w:lang w:val="en-GB"/>
        </w:rPr>
        <w:t>has</w:t>
      </w:r>
      <w:r w:rsidR="007C03DA" w:rsidRPr="005F2054">
        <w:rPr>
          <w:rFonts w:ascii="Arial" w:hAnsi="Arial" w:cs="Arial"/>
          <w:lang w:val="en-GB"/>
        </w:rPr>
        <w:t xml:space="preserve"> </w:t>
      </w:r>
      <w:r w:rsidR="00AD5B31" w:rsidRPr="005F2054">
        <w:rPr>
          <w:rFonts w:ascii="Arial" w:hAnsi="Arial" w:cs="Arial"/>
          <w:lang w:val="en-GB"/>
        </w:rPr>
        <w:t xml:space="preserve">shown an adverse effect on bone mass, and their use may contribute to reduced glucocorticoid co-administration. </w:t>
      </w:r>
      <w:r w:rsidR="0079156D" w:rsidRPr="005F2054">
        <w:rPr>
          <w:rFonts w:ascii="Arial" w:hAnsi="Arial" w:cs="Arial"/>
          <w:color w:val="212121"/>
          <w:shd w:val="clear" w:color="auto" w:fill="FFFFFF"/>
          <w:lang w:val="en-US"/>
        </w:rPr>
        <w:t xml:space="preserve">Currently, </w:t>
      </w:r>
      <w:r w:rsidR="00C42E49" w:rsidRPr="005F2054">
        <w:rPr>
          <w:rFonts w:ascii="Arial" w:hAnsi="Arial" w:cs="Arial"/>
          <w:color w:val="212121"/>
          <w:shd w:val="clear" w:color="auto" w:fill="FFFFFF"/>
          <w:lang w:val="en-US"/>
        </w:rPr>
        <w:t xml:space="preserve">many </w:t>
      </w:r>
      <w:r w:rsidR="0079156D" w:rsidRPr="005F2054">
        <w:rPr>
          <w:rFonts w:ascii="Arial" w:hAnsi="Arial" w:cs="Arial"/>
          <w:color w:val="212121"/>
          <w:shd w:val="clear" w:color="auto" w:fill="FFFFFF"/>
          <w:lang w:val="en-US"/>
        </w:rPr>
        <w:t xml:space="preserve">recommended </w:t>
      </w:r>
      <w:r w:rsidR="005D153D" w:rsidRPr="005F2054">
        <w:rPr>
          <w:rFonts w:ascii="Arial" w:hAnsi="Arial" w:cs="Arial"/>
          <w:color w:val="212121"/>
          <w:shd w:val="clear" w:color="auto" w:fill="FFFFFF"/>
          <w:lang w:val="en-US"/>
        </w:rPr>
        <w:t>post-transplant regimens consist of a calcineurin inhibitor -such as tacrolimus or cyclosporine A in combination with an antiproliferative agent Mm), with or without low-dose corticosteroids (e.g., prednisolone).</w:t>
      </w:r>
    </w:p>
    <w:p w14:paraId="3E45AE36" w14:textId="77777777" w:rsidR="00A44FE3" w:rsidRPr="005F2054" w:rsidRDefault="00A44FE3" w:rsidP="005F2054">
      <w:pPr>
        <w:spacing w:after="0"/>
        <w:contextualSpacing/>
        <w:rPr>
          <w:rFonts w:ascii="Arial" w:hAnsi="Arial" w:cs="Arial"/>
          <w:color w:val="212121"/>
          <w:shd w:val="clear" w:color="auto" w:fill="FFFFFF"/>
          <w:lang w:val="en-US"/>
        </w:rPr>
      </w:pPr>
    </w:p>
    <w:p w14:paraId="057C3B2B" w14:textId="163ED686" w:rsidR="002B400A" w:rsidRPr="005F2054" w:rsidRDefault="00802258" w:rsidP="005F2054">
      <w:pPr>
        <w:spacing w:after="0"/>
        <w:contextualSpacing/>
        <w:rPr>
          <w:rFonts w:ascii="Arial" w:hAnsi="Arial" w:cs="Arial"/>
          <w:color w:val="212121"/>
          <w:shd w:val="clear" w:color="auto" w:fill="FFFFFF"/>
          <w:lang w:val="en-US"/>
        </w:rPr>
      </w:pPr>
      <w:r w:rsidRPr="005F2054">
        <w:rPr>
          <w:rFonts w:ascii="Arial" w:hAnsi="Arial" w:cs="Arial"/>
          <w:color w:val="212121"/>
          <w:shd w:val="clear" w:color="auto" w:fill="FFFFFF"/>
          <w:lang w:val="en-US"/>
        </w:rPr>
        <w:t>Azathioprine</w:t>
      </w:r>
      <w:r w:rsidR="005D153D" w:rsidRPr="005F2054">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another purine</w:t>
      </w:r>
      <w:r w:rsidR="005D153D" w:rsidRPr="005F2054">
        <w:rPr>
          <w:rFonts w:ascii="Arial" w:hAnsi="Arial" w:cs="Arial"/>
          <w:color w:val="212121"/>
          <w:shd w:val="clear" w:color="auto" w:fill="FFFFFF"/>
          <w:lang w:val="en-US"/>
        </w:rPr>
        <w:t xml:space="preserve"> antagonist, further </w:t>
      </w:r>
      <w:r w:rsidRPr="005F2054">
        <w:rPr>
          <w:rFonts w:ascii="Arial" w:hAnsi="Arial" w:cs="Arial"/>
          <w:color w:val="212121"/>
          <w:shd w:val="clear" w:color="auto" w:fill="FFFFFF"/>
          <w:lang w:val="en-US"/>
        </w:rPr>
        <w:t>decreases B and T lymphocytes.</w:t>
      </w:r>
      <w:r w:rsidR="005D153D" w:rsidRPr="005F2054">
        <w:rPr>
          <w:rFonts w:ascii="Arial" w:hAnsi="Arial" w:cs="Arial"/>
          <w:color w:val="212121"/>
          <w:shd w:val="clear" w:color="auto" w:fill="FFFFFF"/>
          <w:lang w:val="en-US"/>
        </w:rPr>
        <w:t xml:space="preserve"> </w:t>
      </w:r>
      <w:r w:rsidR="00B45D6D" w:rsidRPr="005F2054">
        <w:rPr>
          <w:rFonts w:ascii="Arial" w:hAnsi="Arial" w:cs="Arial"/>
          <w:color w:val="212121"/>
          <w:shd w:val="clear" w:color="auto" w:fill="FFFFFF"/>
          <w:lang w:val="en-US"/>
        </w:rPr>
        <w:t xml:space="preserve"> The </w:t>
      </w:r>
      <w:r w:rsidR="0012483E" w:rsidRPr="005F2054">
        <w:rPr>
          <w:rFonts w:ascii="Arial" w:hAnsi="Arial" w:cs="Arial"/>
          <w:color w:val="212121"/>
          <w:shd w:val="clear" w:color="auto" w:fill="FFFFFF"/>
          <w:lang w:val="en-US"/>
        </w:rPr>
        <w:t>impact</w:t>
      </w:r>
      <w:r w:rsidR="00B45D6D" w:rsidRPr="005F2054">
        <w:rPr>
          <w:rFonts w:ascii="Arial" w:hAnsi="Arial" w:cs="Arial"/>
          <w:color w:val="212121"/>
          <w:shd w:val="clear" w:color="auto" w:fill="FFFFFF"/>
          <w:lang w:val="en-US"/>
        </w:rPr>
        <w:t xml:space="preserve"> of </w:t>
      </w:r>
      <w:bookmarkStart w:id="5" w:name="_Hlk195476401"/>
      <w:r w:rsidR="00B45D6D" w:rsidRPr="005F2054">
        <w:rPr>
          <w:rFonts w:ascii="Arial" w:hAnsi="Arial" w:cs="Arial"/>
          <w:color w:val="212121"/>
          <w:shd w:val="clear" w:color="auto" w:fill="FFFFFF"/>
          <w:lang w:val="en-US"/>
        </w:rPr>
        <w:t>sirolimus</w:t>
      </w:r>
      <w:bookmarkEnd w:id="5"/>
      <w:r w:rsidR="00B45D6D" w:rsidRPr="005F2054">
        <w:rPr>
          <w:rFonts w:ascii="Arial" w:hAnsi="Arial" w:cs="Arial"/>
          <w:color w:val="212121"/>
          <w:shd w:val="clear" w:color="auto" w:fill="FFFFFF"/>
          <w:lang w:val="en-US"/>
        </w:rPr>
        <w:t xml:space="preserve">, tacrolimus, and Mn on osteoclasts </w:t>
      </w:r>
      <w:r w:rsidR="00794C79" w:rsidRPr="005F2054">
        <w:rPr>
          <w:rFonts w:ascii="Arial" w:hAnsi="Arial" w:cs="Arial"/>
          <w:color w:val="212121"/>
          <w:shd w:val="clear" w:color="auto" w:fill="FFFFFF"/>
          <w:lang w:val="en-US"/>
        </w:rPr>
        <w:t>has been</w:t>
      </w:r>
      <w:r w:rsidR="005D153D" w:rsidRPr="005F2054">
        <w:rPr>
          <w:rFonts w:ascii="Arial" w:hAnsi="Arial" w:cs="Arial"/>
          <w:color w:val="212121"/>
          <w:shd w:val="clear" w:color="auto" w:fill="FFFFFF"/>
          <w:lang w:val="en-US"/>
        </w:rPr>
        <w:t xml:space="preserve"> studied i</w:t>
      </w:r>
      <w:r w:rsidR="00B45D6D" w:rsidRPr="005F2054">
        <w:rPr>
          <w:rFonts w:ascii="Arial" w:hAnsi="Arial" w:cs="Arial"/>
          <w:color w:val="212121"/>
          <w:shd w:val="clear" w:color="auto" w:fill="FFFFFF"/>
          <w:lang w:val="en-US"/>
        </w:rPr>
        <w:t xml:space="preserve">n </w:t>
      </w:r>
      <w:r w:rsidR="00794C79" w:rsidRPr="005F2054">
        <w:rPr>
          <w:rFonts w:ascii="Arial" w:hAnsi="Arial" w:cs="Arial"/>
          <w:color w:val="212121"/>
          <w:shd w:val="clear" w:color="auto" w:fill="FFFFFF"/>
          <w:lang w:val="en-US"/>
        </w:rPr>
        <w:t>cell-cultured</w:t>
      </w:r>
      <w:r w:rsidR="00B45D6D" w:rsidRPr="005F2054">
        <w:rPr>
          <w:rFonts w:ascii="Arial" w:hAnsi="Arial" w:cs="Arial"/>
          <w:color w:val="212121"/>
          <w:shd w:val="clear" w:color="auto" w:fill="FFFFFF"/>
          <w:lang w:val="en-US"/>
        </w:rPr>
        <w:t xml:space="preserve"> systems. The authors detected that the inhibition of osteoclast precursors and proliferation, with Mn and tacrolimus, was lower compared to </w:t>
      </w:r>
      <w:r w:rsidR="006401A5" w:rsidRPr="006401A5">
        <w:rPr>
          <w:rFonts w:ascii="Arial" w:hAnsi="Arial" w:cs="Arial"/>
          <w:color w:val="212121"/>
          <w:shd w:val="clear" w:color="auto" w:fill="FFFFFF"/>
          <w:lang w:val="en-US"/>
        </w:rPr>
        <w:t>sirolimus</w:t>
      </w:r>
      <w:r w:rsidR="00AD4615" w:rsidRPr="00FF5533">
        <w:rPr>
          <w:rFonts w:ascii="Arial" w:hAnsi="Arial" w:cs="Arial"/>
          <w:shd w:val="clear" w:color="auto" w:fill="FFFFFF"/>
          <w:lang w:val="en-US"/>
        </w:rPr>
        <w:t xml:space="preserve"> (6</w:t>
      </w:r>
      <w:r w:rsidR="00632018" w:rsidRPr="00FF5533">
        <w:rPr>
          <w:rFonts w:ascii="Arial" w:hAnsi="Arial" w:cs="Arial"/>
          <w:shd w:val="clear" w:color="auto" w:fill="FFFFFF"/>
          <w:lang w:val="en-US"/>
        </w:rPr>
        <w:t>5</w:t>
      </w:r>
      <w:r w:rsidR="00AD4615" w:rsidRPr="00FF5533">
        <w:rPr>
          <w:rFonts w:ascii="Arial" w:hAnsi="Arial" w:cs="Arial"/>
          <w:shd w:val="clear" w:color="auto" w:fill="FFFFFF"/>
          <w:lang w:val="en-US"/>
        </w:rPr>
        <w:t xml:space="preserve">). </w:t>
      </w:r>
      <w:r w:rsidRPr="00FF5533">
        <w:rPr>
          <w:rFonts w:ascii="Arial" w:hAnsi="Arial" w:cs="Arial"/>
          <w:shd w:val="clear" w:color="auto" w:fill="FFFFFF"/>
          <w:lang w:val="en-US"/>
        </w:rPr>
        <w:t xml:space="preserve">Both </w:t>
      </w:r>
      <w:r w:rsidRPr="005F2054">
        <w:rPr>
          <w:rFonts w:ascii="Arial" w:hAnsi="Arial" w:cs="Arial"/>
          <w:color w:val="212121"/>
          <w:shd w:val="clear" w:color="auto" w:fill="FFFFFF"/>
          <w:lang w:val="en-US"/>
        </w:rPr>
        <w:t xml:space="preserve">drugs are given in protocols combined with other immunosuppressors, </w:t>
      </w:r>
      <w:r w:rsidR="00AE702F">
        <w:rPr>
          <w:rFonts w:ascii="Arial" w:hAnsi="Arial" w:cs="Arial"/>
          <w:color w:val="212121"/>
          <w:shd w:val="clear" w:color="auto" w:fill="FFFFFF"/>
          <w:lang w:val="en-US"/>
        </w:rPr>
        <w:t xml:space="preserve">which </w:t>
      </w:r>
      <w:r w:rsidR="00D56B16">
        <w:rPr>
          <w:rFonts w:ascii="Arial" w:hAnsi="Arial" w:cs="Arial"/>
          <w:color w:val="212121"/>
          <w:shd w:val="clear" w:color="auto" w:fill="FFFFFF"/>
          <w:lang w:val="en-US"/>
        </w:rPr>
        <w:t xml:space="preserve">makes it difficult to determine their </w:t>
      </w:r>
      <w:r w:rsidRPr="005F2054">
        <w:rPr>
          <w:rFonts w:ascii="Arial" w:hAnsi="Arial" w:cs="Arial"/>
          <w:color w:val="212121"/>
          <w:shd w:val="clear" w:color="auto" w:fill="FFFFFF"/>
          <w:lang w:val="en-US"/>
        </w:rPr>
        <w:t>effects on bone.</w:t>
      </w:r>
    </w:p>
    <w:p w14:paraId="386B37A7" w14:textId="77777777" w:rsidR="005D3C80" w:rsidRPr="005F2054" w:rsidRDefault="005D3C80" w:rsidP="005F2054">
      <w:pPr>
        <w:spacing w:after="0"/>
        <w:contextualSpacing/>
        <w:rPr>
          <w:rFonts w:ascii="Arial" w:hAnsi="Arial" w:cs="Arial"/>
          <w:b/>
          <w:color w:val="4F81BD" w:themeColor="accent1"/>
          <w:shd w:val="clear" w:color="auto" w:fill="FFFFFF"/>
          <w:lang w:val="en-US"/>
        </w:rPr>
      </w:pPr>
    </w:p>
    <w:p w14:paraId="529F6022" w14:textId="2F130575" w:rsidR="002B400A" w:rsidRPr="005F2054" w:rsidRDefault="00275E6D" w:rsidP="005F2054">
      <w:pPr>
        <w:spacing w:after="0"/>
        <w:contextualSpacing/>
        <w:rPr>
          <w:rFonts w:ascii="Arial" w:hAnsi="Arial" w:cs="Arial"/>
          <w:b/>
          <w:color w:val="4F81BD" w:themeColor="accent1"/>
          <w:shd w:val="clear" w:color="auto" w:fill="FFFFFF"/>
          <w:lang w:val="en-US"/>
        </w:rPr>
      </w:pPr>
      <w:r w:rsidRPr="005F2054">
        <w:rPr>
          <w:rFonts w:ascii="Arial" w:hAnsi="Arial" w:cs="Arial"/>
          <w:b/>
          <w:color w:val="4F81BD" w:themeColor="accent1"/>
          <w:shd w:val="clear" w:color="auto" w:fill="FFFFFF"/>
          <w:lang w:val="en-US"/>
        </w:rPr>
        <w:t>POST-TRANSPLANTATION SERUM PTH, VITAMIN D</w:t>
      </w:r>
      <w:r w:rsidR="00664ACC">
        <w:rPr>
          <w:rFonts w:ascii="Arial" w:hAnsi="Arial" w:cs="Arial"/>
          <w:b/>
          <w:color w:val="4F81BD" w:themeColor="accent1"/>
          <w:shd w:val="clear" w:color="auto" w:fill="FFFFFF"/>
          <w:lang w:val="en-US"/>
        </w:rPr>
        <w:t>, TESTOSTERONE</w:t>
      </w:r>
      <w:r w:rsidR="009A64ED">
        <w:rPr>
          <w:rFonts w:ascii="Arial" w:hAnsi="Arial" w:cs="Arial"/>
          <w:b/>
          <w:color w:val="4F81BD" w:themeColor="accent1"/>
          <w:shd w:val="clear" w:color="auto" w:fill="FFFFFF"/>
          <w:lang w:val="en-US"/>
        </w:rPr>
        <w:t>,</w:t>
      </w:r>
      <w:r w:rsidRPr="005F2054">
        <w:rPr>
          <w:rFonts w:ascii="Arial" w:hAnsi="Arial" w:cs="Arial"/>
          <w:b/>
          <w:color w:val="4F81BD" w:themeColor="accent1"/>
          <w:shd w:val="clear" w:color="auto" w:fill="FFFFFF"/>
          <w:lang w:val="en-US"/>
        </w:rPr>
        <w:t xml:space="preserve"> AND MAGNESIUM</w:t>
      </w:r>
      <w:r w:rsidR="002B778F" w:rsidRPr="005F2054">
        <w:rPr>
          <w:rFonts w:ascii="Arial" w:hAnsi="Arial" w:cs="Arial"/>
          <w:b/>
          <w:color w:val="4F81BD" w:themeColor="accent1"/>
          <w:shd w:val="clear" w:color="auto" w:fill="FFFFFF"/>
          <w:lang w:val="en-US"/>
        </w:rPr>
        <w:t xml:space="preserve"> </w:t>
      </w:r>
    </w:p>
    <w:p w14:paraId="75F3E5FA" w14:textId="77777777" w:rsidR="00FF5533" w:rsidRDefault="00FF5533" w:rsidP="005F2054">
      <w:pPr>
        <w:spacing w:after="0"/>
        <w:contextualSpacing/>
        <w:rPr>
          <w:rFonts w:ascii="Arial" w:hAnsi="Arial" w:cs="Arial"/>
          <w:color w:val="212121"/>
          <w:shd w:val="clear" w:color="auto" w:fill="FFFFFF"/>
          <w:lang w:val="en-US"/>
        </w:rPr>
      </w:pPr>
    </w:p>
    <w:p w14:paraId="4E790D53" w14:textId="6FCCBD1D" w:rsidR="00FF5533" w:rsidRDefault="00B04B25" w:rsidP="005F2054">
      <w:pPr>
        <w:spacing w:after="0"/>
        <w:contextualSpacing/>
        <w:rPr>
          <w:rFonts w:ascii="Arial" w:hAnsi="Arial" w:cs="Arial"/>
          <w:lang w:val="en-US"/>
        </w:rPr>
      </w:pPr>
      <w:r w:rsidRPr="005F2054">
        <w:rPr>
          <w:rFonts w:ascii="Arial" w:hAnsi="Arial" w:cs="Arial"/>
          <w:color w:val="212121"/>
          <w:shd w:val="clear" w:color="auto" w:fill="FFFFFF"/>
          <w:lang w:val="en-US"/>
        </w:rPr>
        <w:t xml:space="preserve">Changes in serum </w:t>
      </w:r>
      <w:r w:rsidRPr="005F2054">
        <w:rPr>
          <w:rFonts w:ascii="Arial" w:hAnsi="Arial" w:cs="Arial"/>
          <w:shd w:val="clear" w:color="auto" w:fill="FFFFFF"/>
          <w:lang w:val="en-US"/>
        </w:rPr>
        <w:t xml:space="preserve">PTH </w:t>
      </w:r>
      <w:r w:rsidR="00F11125" w:rsidRPr="005F2054">
        <w:rPr>
          <w:rFonts w:ascii="Arial" w:hAnsi="Arial" w:cs="Arial"/>
          <w:shd w:val="clear" w:color="auto" w:fill="FFFFFF"/>
          <w:lang w:val="en-US"/>
        </w:rPr>
        <w:t xml:space="preserve">levels vary </w:t>
      </w:r>
      <w:r w:rsidR="00047D8D" w:rsidRPr="005F2054">
        <w:rPr>
          <w:rFonts w:ascii="Arial" w:hAnsi="Arial" w:cs="Arial"/>
          <w:shd w:val="clear" w:color="auto" w:fill="FFFFFF"/>
          <w:lang w:val="en-US"/>
        </w:rPr>
        <w:t xml:space="preserve">following </w:t>
      </w:r>
      <w:r w:rsidR="00F11125" w:rsidRPr="005F2054">
        <w:rPr>
          <w:rFonts w:ascii="Arial" w:hAnsi="Arial" w:cs="Arial"/>
          <w:shd w:val="clear" w:color="auto" w:fill="FFFFFF"/>
          <w:lang w:val="en-US"/>
        </w:rPr>
        <w:t xml:space="preserve">solid </w:t>
      </w:r>
      <w:r w:rsidR="00F11125" w:rsidRPr="005F2054">
        <w:rPr>
          <w:rFonts w:ascii="Arial" w:hAnsi="Arial" w:cs="Arial"/>
          <w:color w:val="212121"/>
          <w:shd w:val="clear" w:color="auto" w:fill="FFFFFF"/>
          <w:lang w:val="en-US"/>
        </w:rPr>
        <w:t xml:space="preserve">organ </w:t>
      </w:r>
      <w:r w:rsidRPr="005F2054">
        <w:rPr>
          <w:rFonts w:ascii="Arial" w:hAnsi="Arial" w:cs="Arial"/>
          <w:color w:val="212121"/>
          <w:shd w:val="clear" w:color="auto" w:fill="FFFFFF"/>
          <w:lang w:val="en-US"/>
        </w:rPr>
        <w:t>transplant</w:t>
      </w:r>
      <w:r w:rsidR="00F11125" w:rsidRPr="005F2054">
        <w:rPr>
          <w:rFonts w:ascii="Arial" w:hAnsi="Arial" w:cs="Arial"/>
          <w:color w:val="212121"/>
          <w:shd w:val="clear" w:color="auto" w:fill="FFFFFF"/>
          <w:lang w:val="en-US"/>
        </w:rPr>
        <w:t>s</w:t>
      </w:r>
      <w:r w:rsidRPr="005F2054">
        <w:rPr>
          <w:rFonts w:ascii="Arial" w:hAnsi="Arial" w:cs="Arial"/>
          <w:color w:val="212121"/>
          <w:shd w:val="clear" w:color="auto" w:fill="FFFFFF"/>
          <w:lang w:val="en-US"/>
        </w:rPr>
        <w:t xml:space="preserve">. </w:t>
      </w:r>
      <w:r w:rsidR="00190A72" w:rsidRPr="005F2054">
        <w:rPr>
          <w:rFonts w:ascii="Arial" w:hAnsi="Arial" w:cs="Arial"/>
          <w:color w:val="212121"/>
          <w:shd w:val="clear" w:color="auto" w:fill="FFFFFF"/>
          <w:lang w:val="en-US"/>
        </w:rPr>
        <w:t>No</w:t>
      </w:r>
      <w:r w:rsidRPr="005F2054">
        <w:rPr>
          <w:rFonts w:ascii="Arial" w:hAnsi="Arial" w:cs="Arial"/>
          <w:color w:val="212121"/>
          <w:shd w:val="clear" w:color="auto" w:fill="FFFFFF"/>
          <w:lang w:val="en-US"/>
        </w:rPr>
        <w:t xml:space="preserve"> significant </w:t>
      </w:r>
      <w:r w:rsidR="00047D8D" w:rsidRPr="005F2054">
        <w:rPr>
          <w:rFonts w:ascii="Arial" w:hAnsi="Arial" w:cs="Arial"/>
          <w:color w:val="212121"/>
          <w:shd w:val="clear" w:color="auto" w:fill="FFFFFF"/>
          <w:lang w:val="en-US"/>
        </w:rPr>
        <w:t xml:space="preserve">alteration </w:t>
      </w:r>
      <w:r w:rsidRPr="005F2054">
        <w:rPr>
          <w:rFonts w:ascii="Arial" w:hAnsi="Arial" w:cs="Arial"/>
          <w:color w:val="212121"/>
          <w:shd w:val="clear" w:color="auto" w:fill="FFFFFF"/>
          <w:lang w:val="en-US"/>
        </w:rPr>
        <w:t xml:space="preserve">in PTH levels </w:t>
      </w:r>
      <w:r w:rsidR="001D68A0" w:rsidRPr="005F2054">
        <w:rPr>
          <w:rFonts w:ascii="Arial" w:hAnsi="Arial" w:cs="Arial"/>
          <w:color w:val="212121"/>
          <w:shd w:val="clear" w:color="auto" w:fill="FFFFFF"/>
          <w:lang w:val="en-US"/>
        </w:rPr>
        <w:t>has</w:t>
      </w:r>
      <w:r w:rsidR="00047D8D" w:rsidRPr="005F2054">
        <w:rPr>
          <w:rFonts w:ascii="Arial" w:hAnsi="Arial" w:cs="Arial"/>
          <w:color w:val="212121"/>
          <w:shd w:val="clear" w:color="auto" w:fill="FFFFFF"/>
          <w:lang w:val="en-US"/>
        </w:rPr>
        <w:t xml:space="preserve"> been observed after </w:t>
      </w:r>
      <w:r w:rsidRPr="005F2054">
        <w:rPr>
          <w:rFonts w:ascii="Arial" w:hAnsi="Arial" w:cs="Arial"/>
          <w:color w:val="212121"/>
          <w:shd w:val="clear" w:color="auto" w:fill="FFFFFF"/>
          <w:lang w:val="en-US"/>
        </w:rPr>
        <w:t xml:space="preserve">cardiac </w:t>
      </w:r>
      <w:r w:rsidR="00B64B28" w:rsidRPr="005F2054">
        <w:rPr>
          <w:rFonts w:ascii="Arial" w:hAnsi="Arial" w:cs="Arial"/>
          <w:color w:val="212121"/>
          <w:shd w:val="clear" w:color="auto" w:fill="FFFFFF"/>
          <w:lang w:val="en-US"/>
        </w:rPr>
        <w:t>transplants</w:t>
      </w:r>
      <w:r w:rsidR="005811DD" w:rsidRPr="005F2054">
        <w:rPr>
          <w:rFonts w:ascii="Arial" w:hAnsi="Arial" w:cs="Arial"/>
          <w:color w:val="212121"/>
          <w:shd w:val="clear" w:color="auto" w:fill="FFFFFF"/>
          <w:lang w:val="en-US"/>
        </w:rPr>
        <w:t xml:space="preserve">, </w:t>
      </w:r>
      <w:r w:rsidR="001D68A0" w:rsidRPr="005F2054">
        <w:rPr>
          <w:rFonts w:ascii="Arial" w:hAnsi="Arial" w:cs="Arial"/>
          <w:color w:val="212121"/>
          <w:shd w:val="clear" w:color="auto" w:fill="FFFFFF"/>
          <w:lang w:val="en-US"/>
        </w:rPr>
        <w:t xml:space="preserve">whereas liver transplant recipients often experience a moderate increase. In kidney transplant patients, PTH levels may initially decrease by approximately 50% within the first six months post-transplantation (2). </w:t>
      </w:r>
      <w:r w:rsidR="00F11125" w:rsidRPr="005F2054">
        <w:rPr>
          <w:rFonts w:ascii="Arial" w:hAnsi="Arial" w:cs="Arial"/>
          <w:color w:val="212121"/>
          <w:shd w:val="clear" w:color="auto" w:fill="FFFFFF"/>
          <w:lang w:val="en-US"/>
        </w:rPr>
        <w:t xml:space="preserve">Notably, secondary hyperparathyroidism </w:t>
      </w:r>
      <w:r w:rsidR="001D68A0" w:rsidRPr="005F2054">
        <w:rPr>
          <w:rFonts w:ascii="Arial" w:hAnsi="Arial" w:cs="Arial"/>
          <w:color w:val="212121"/>
          <w:shd w:val="clear" w:color="auto" w:fill="FFFFFF"/>
          <w:lang w:val="en-US"/>
        </w:rPr>
        <w:t xml:space="preserve">is observed in some kidney transplant </w:t>
      </w:r>
      <w:r w:rsidR="00F11125" w:rsidRPr="005F2054">
        <w:rPr>
          <w:rFonts w:ascii="Arial" w:hAnsi="Arial" w:cs="Arial"/>
          <w:color w:val="212121"/>
          <w:shd w:val="clear" w:color="auto" w:fill="FFFFFF"/>
          <w:lang w:val="en-US"/>
        </w:rPr>
        <w:t xml:space="preserve">recipients, particularly those with prolonged pre-transplant dialysis duration, </w:t>
      </w:r>
      <w:r w:rsidR="001D68A0" w:rsidRPr="005F2054">
        <w:rPr>
          <w:rFonts w:ascii="Arial" w:hAnsi="Arial" w:cs="Arial"/>
          <w:color w:val="212121"/>
          <w:shd w:val="clear" w:color="auto" w:fill="FFFFFF"/>
          <w:lang w:val="en-US"/>
        </w:rPr>
        <w:t xml:space="preserve">reduced </w:t>
      </w:r>
      <w:r w:rsidR="00F11125" w:rsidRPr="005F2054">
        <w:rPr>
          <w:rFonts w:ascii="Arial" w:hAnsi="Arial" w:cs="Arial"/>
          <w:color w:val="212121"/>
          <w:shd w:val="clear" w:color="auto" w:fill="FFFFFF"/>
          <w:lang w:val="en-US"/>
        </w:rPr>
        <w:t>glomerular filtration, and low serum</w:t>
      </w:r>
      <w:r w:rsidR="00DF157E" w:rsidRPr="005F2054">
        <w:rPr>
          <w:rFonts w:ascii="Arial" w:hAnsi="Arial" w:cs="Arial"/>
          <w:color w:val="212121"/>
          <w:shd w:val="clear" w:color="auto" w:fill="FFFFFF"/>
          <w:lang w:val="en-US"/>
        </w:rPr>
        <w:t xml:space="preserve"> 25OHD levels (66). </w:t>
      </w:r>
      <w:r w:rsidR="00A82C24" w:rsidRPr="005F2054">
        <w:rPr>
          <w:rFonts w:ascii="Arial" w:hAnsi="Arial" w:cs="Arial"/>
          <w:lang w:val="en-US"/>
        </w:rPr>
        <w:t xml:space="preserve">The </w:t>
      </w:r>
      <w:r w:rsidR="001D68A0" w:rsidRPr="005F2054">
        <w:rPr>
          <w:rFonts w:ascii="Arial" w:hAnsi="Arial" w:cs="Arial"/>
          <w:lang w:val="en-US"/>
        </w:rPr>
        <w:t xml:space="preserve">exact causes of elevated </w:t>
      </w:r>
      <w:r w:rsidR="00A82C24" w:rsidRPr="005F2054">
        <w:rPr>
          <w:rFonts w:ascii="Arial" w:hAnsi="Arial" w:cs="Arial"/>
          <w:lang w:val="en-US"/>
        </w:rPr>
        <w:t xml:space="preserve">serum PTH levels </w:t>
      </w:r>
      <w:r w:rsidR="00DF157E" w:rsidRPr="005F2054">
        <w:rPr>
          <w:rFonts w:ascii="Arial" w:hAnsi="Arial" w:cs="Arial"/>
          <w:lang w:val="en-US"/>
        </w:rPr>
        <w:t>remain</w:t>
      </w:r>
      <w:r w:rsidR="00A82C24" w:rsidRPr="005F2054">
        <w:rPr>
          <w:rFonts w:ascii="Arial" w:hAnsi="Arial" w:cs="Arial"/>
          <w:lang w:val="en-US"/>
        </w:rPr>
        <w:t xml:space="preserve"> </w:t>
      </w:r>
      <w:r w:rsidR="00DF157E" w:rsidRPr="005F2054">
        <w:rPr>
          <w:rFonts w:ascii="Arial" w:hAnsi="Arial" w:cs="Arial"/>
          <w:lang w:val="en-US"/>
        </w:rPr>
        <w:t xml:space="preserve">unclear but may be </w:t>
      </w:r>
      <w:r w:rsidR="001D68A0" w:rsidRPr="005F2054">
        <w:rPr>
          <w:rFonts w:ascii="Arial" w:hAnsi="Arial" w:cs="Arial"/>
          <w:lang w:val="en-US"/>
        </w:rPr>
        <w:t xml:space="preserve">associated with the </w:t>
      </w:r>
      <w:r w:rsidR="00A82C24" w:rsidRPr="005F2054">
        <w:rPr>
          <w:rFonts w:ascii="Arial" w:hAnsi="Arial" w:cs="Arial"/>
          <w:lang w:val="en-US"/>
        </w:rPr>
        <w:t>decline in renal function</w:t>
      </w:r>
      <w:r w:rsidR="001D68A0" w:rsidRPr="005F2054">
        <w:rPr>
          <w:rFonts w:ascii="Arial" w:hAnsi="Arial" w:cs="Arial"/>
          <w:lang w:val="en-US"/>
        </w:rPr>
        <w:t xml:space="preserve">, which affects approximately </w:t>
      </w:r>
      <w:r w:rsidR="00A82C24" w:rsidRPr="005F2054">
        <w:rPr>
          <w:rFonts w:ascii="Arial" w:hAnsi="Arial" w:cs="Arial"/>
          <w:lang w:val="en-US"/>
        </w:rPr>
        <w:t>20% of transp</w:t>
      </w:r>
      <w:r w:rsidR="003028FC" w:rsidRPr="005F2054">
        <w:rPr>
          <w:rFonts w:ascii="Arial" w:hAnsi="Arial" w:cs="Arial"/>
          <w:lang w:val="en-US"/>
        </w:rPr>
        <w:t xml:space="preserve">lant recipients. </w:t>
      </w:r>
      <w:r w:rsidR="006D5C92">
        <w:rPr>
          <w:rFonts w:ascii="Arial" w:hAnsi="Arial" w:cs="Arial"/>
          <w:lang w:val="en-US"/>
        </w:rPr>
        <w:t xml:space="preserve">For a detailed discussion of hyperparathyroidism in patients with renal disease see the </w:t>
      </w:r>
      <w:r w:rsidR="00AE2F67">
        <w:rPr>
          <w:rFonts w:ascii="Arial" w:hAnsi="Arial" w:cs="Arial"/>
          <w:lang w:val="en-US"/>
        </w:rPr>
        <w:t>E</w:t>
      </w:r>
      <w:r w:rsidR="006D5C92">
        <w:rPr>
          <w:rFonts w:ascii="Arial" w:hAnsi="Arial" w:cs="Arial"/>
          <w:lang w:val="en-US"/>
        </w:rPr>
        <w:t>ndotext</w:t>
      </w:r>
      <w:r w:rsidR="00AE2F67">
        <w:rPr>
          <w:rFonts w:ascii="Arial" w:hAnsi="Arial" w:cs="Arial"/>
          <w:lang w:val="en-US"/>
        </w:rPr>
        <w:t xml:space="preserve"> chapter entitled “</w:t>
      </w:r>
      <w:r w:rsidR="00AE2F67" w:rsidRPr="00AE2F67">
        <w:rPr>
          <w:rFonts w:ascii="Arial" w:hAnsi="Arial" w:cs="Arial"/>
          <w:lang w:val="en-US"/>
        </w:rPr>
        <w:t>Hyperparathyroidism in Chronic Kidney Disease</w:t>
      </w:r>
      <w:r w:rsidR="00AE2F67">
        <w:rPr>
          <w:rFonts w:ascii="Arial" w:hAnsi="Arial" w:cs="Arial"/>
          <w:lang w:val="en-US"/>
        </w:rPr>
        <w:t>” in the Bone and Mineral section.</w:t>
      </w:r>
    </w:p>
    <w:p w14:paraId="4737E320" w14:textId="7F5DD9CA" w:rsidR="00B04B25" w:rsidRPr="005F2054" w:rsidRDefault="00DF1750" w:rsidP="005F2054">
      <w:pPr>
        <w:spacing w:after="0"/>
        <w:contextualSpacing/>
        <w:rPr>
          <w:rFonts w:ascii="Arial" w:hAnsi="Arial" w:cs="Arial"/>
          <w:lang w:val="en-US"/>
        </w:rPr>
      </w:pPr>
      <w:r w:rsidRPr="005F2054">
        <w:rPr>
          <w:rFonts w:ascii="Arial" w:hAnsi="Arial" w:cs="Arial"/>
          <w:lang w:val="en-US"/>
        </w:rPr>
        <w:t xml:space="preserve"> </w:t>
      </w:r>
    </w:p>
    <w:p w14:paraId="0DA1CFCF" w14:textId="51EC87E9" w:rsidR="009E76BA" w:rsidRDefault="0032160F" w:rsidP="005F2054">
      <w:pPr>
        <w:spacing w:after="0"/>
        <w:contextualSpacing/>
        <w:rPr>
          <w:rFonts w:ascii="Arial" w:hAnsi="Arial" w:cs="Arial"/>
          <w:color w:val="212121"/>
          <w:shd w:val="clear" w:color="auto" w:fill="FFFFFF"/>
          <w:lang w:val="en-US"/>
        </w:rPr>
      </w:pPr>
      <w:r w:rsidRPr="005F2054">
        <w:rPr>
          <w:rFonts w:ascii="Arial" w:hAnsi="Arial" w:cs="Arial"/>
          <w:color w:val="212121"/>
          <w:shd w:val="clear" w:color="auto" w:fill="FFFFFF"/>
          <w:lang w:val="en-US"/>
        </w:rPr>
        <w:t xml:space="preserve">Serum </w:t>
      </w:r>
      <w:r w:rsidRPr="005F2054">
        <w:rPr>
          <w:rFonts w:ascii="Arial" w:hAnsi="Arial" w:cs="Arial"/>
          <w:shd w:val="clear" w:color="auto" w:fill="FFFFFF"/>
          <w:lang w:val="en-US"/>
        </w:rPr>
        <w:t>25OHD</w:t>
      </w:r>
      <w:r w:rsidRPr="005F2054">
        <w:rPr>
          <w:rFonts w:ascii="Arial" w:hAnsi="Arial" w:cs="Arial"/>
          <w:color w:val="FF0000"/>
          <w:shd w:val="clear" w:color="auto" w:fill="FFFFFF"/>
          <w:lang w:val="en-US"/>
        </w:rPr>
        <w:t xml:space="preserve"> l</w:t>
      </w:r>
      <w:r w:rsidRPr="005F2054">
        <w:rPr>
          <w:rFonts w:ascii="Arial" w:hAnsi="Arial" w:cs="Arial"/>
          <w:color w:val="212121"/>
          <w:shd w:val="clear" w:color="auto" w:fill="FFFFFF"/>
          <w:lang w:val="en-US"/>
        </w:rPr>
        <w:t xml:space="preserve">evels are </w:t>
      </w:r>
      <w:r w:rsidR="006C45FC" w:rsidRPr="005F2054">
        <w:rPr>
          <w:rFonts w:ascii="Arial" w:hAnsi="Arial" w:cs="Arial"/>
          <w:color w:val="212121"/>
          <w:shd w:val="clear" w:color="auto" w:fill="FFFFFF"/>
          <w:lang w:val="en-US"/>
        </w:rPr>
        <w:t xml:space="preserve">often </w:t>
      </w:r>
      <w:r w:rsidRPr="005F2054">
        <w:rPr>
          <w:rFonts w:ascii="Arial" w:hAnsi="Arial" w:cs="Arial"/>
          <w:color w:val="212121"/>
          <w:shd w:val="clear" w:color="auto" w:fill="FFFFFF"/>
          <w:lang w:val="en-US"/>
        </w:rPr>
        <w:t>low before transplantation</w:t>
      </w:r>
      <w:r w:rsidR="004616A8" w:rsidRPr="005F2054">
        <w:rPr>
          <w:rFonts w:ascii="Arial" w:hAnsi="Arial" w:cs="Arial"/>
          <w:color w:val="212121"/>
          <w:shd w:val="clear" w:color="auto" w:fill="FFFFFF"/>
          <w:lang w:val="en-US"/>
        </w:rPr>
        <w:t xml:space="preserve"> </w:t>
      </w:r>
      <w:r w:rsidR="00190A72" w:rsidRPr="005F2054">
        <w:rPr>
          <w:rFonts w:ascii="Arial" w:hAnsi="Arial" w:cs="Arial"/>
          <w:color w:val="212121"/>
          <w:shd w:val="clear" w:color="auto" w:fill="FFFFFF"/>
          <w:lang w:val="en-US"/>
        </w:rPr>
        <w:t xml:space="preserve">in all transplant candidates </w:t>
      </w:r>
      <w:r w:rsidR="001D68A0" w:rsidRPr="005F2054">
        <w:rPr>
          <w:rFonts w:ascii="Arial" w:hAnsi="Arial" w:cs="Arial"/>
          <w:color w:val="212121"/>
          <w:shd w:val="clear" w:color="auto" w:fill="FFFFFF"/>
          <w:lang w:val="en-US"/>
        </w:rPr>
        <w:t>before the procedure and remain low afterward. F</w:t>
      </w:r>
      <w:r w:rsidR="006C45FC" w:rsidRPr="005F2054">
        <w:rPr>
          <w:rFonts w:ascii="Arial" w:hAnsi="Arial" w:cs="Arial"/>
          <w:color w:val="212121"/>
          <w:shd w:val="clear" w:color="auto" w:fill="FFFFFF"/>
          <w:lang w:val="en-US"/>
        </w:rPr>
        <w:t xml:space="preserve">ollowing </w:t>
      </w:r>
      <w:r w:rsidR="00794C79" w:rsidRPr="005F2054">
        <w:rPr>
          <w:rFonts w:ascii="Arial" w:hAnsi="Arial" w:cs="Arial"/>
          <w:color w:val="212121"/>
          <w:shd w:val="clear" w:color="auto" w:fill="FFFFFF"/>
          <w:lang w:val="en-US"/>
        </w:rPr>
        <w:t>transplantation, 91</w:t>
      </w:r>
      <w:r w:rsidR="000763D1" w:rsidRPr="005F2054">
        <w:rPr>
          <w:rFonts w:ascii="Arial" w:hAnsi="Arial" w:cs="Arial"/>
          <w:color w:val="212121"/>
          <w:shd w:val="clear" w:color="auto" w:fill="FFFFFF"/>
          <w:lang w:val="en-US"/>
        </w:rPr>
        <w:t xml:space="preserve">% of patients </w:t>
      </w:r>
      <w:r w:rsidR="006C45FC" w:rsidRPr="005F2054">
        <w:rPr>
          <w:rFonts w:ascii="Arial" w:hAnsi="Arial" w:cs="Arial"/>
          <w:color w:val="212121"/>
          <w:shd w:val="clear" w:color="auto" w:fill="FFFFFF"/>
          <w:lang w:val="en-US"/>
        </w:rPr>
        <w:t>experience v</w:t>
      </w:r>
      <w:r w:rsidR="000763D1" w:rsidRPr="005F2054">
        <w:rPr>
          <w:rFonts w:ascii="Arial" w:hAnsi="Arial" w:cs="Arial"/>
          <w:color w:val="212121"/>
          <w:shd w:val="clear" w:color="auto" w:fill="FFFFFF"/>
          <w:lang w:val="en-US"/>
        </w:rPr>
        <w:t>itamin D insufficiency</w:t>
      </w:r>
      <w:r w:rsidR="006C45FC" w:rsidRPr="005F2054">
        <w:rPr>
          <w:rFonts w:ascii="Arial" w:hAnsi="Arial" w:cs="Arial"/>
          <w:color w:val="212121"/>
          <w:shd w:val="clear" w:color="auto" w:fill="FFFFFF"/>
          <w:lang w:val="en-US"/>
        </w:rPr>
        <w:t xml:space="preserve">, </w:t>
      </w:r>
      <w:r w:rsidR="000763D1" w:rsidRPr="005F2054">
        <w:rPr>
          <w:rFonts w:ascii="Arial" w:hAnsi="Arial" w:cs="Arial"/>
          <w:color w:val="212121"/>
          <w:shd w:val="clear" w:color="auto" w:fill="FFFFFF"/>
          <w:lang w:val="en-US"/>
        </w:rPr>
        <w:t>and 55%</w:t>
      </w:r>
      <w:r w:rsidR="006C45FC" w:rsidRPr="005F2054">
        <w:rPr>
          <w:rFonts w:ascii="Arial" w:hAnsi="Arial" w:cs="Arial"/>
          <w:color w:val="212121"/>
          <w:shd w:val="clear" w:color="auto" w:fill="FFFFFF"/>
          <w:lang w:val="en-US"/>
        </w:rPr>
        <w:t xml:space="preserve"> have a </w:t>
      </w:r>
      <w:r w:rsidR="000763D1" w:rsidRPr="005F2054">
        <w:rPr>
          <w:rFonts w:ascii="Arial" w:hAnsi="Arial" w:cs="Arial"/>
          <w:color w:val="212121"/>
          <w:shd w:val="clear" w:color="auto" w:fill="FFFFFF"/>
          <w:lang w:val="en-US"/>
        </w:rPr>
        <w:t xml:space="preserve">deficiency, </w:t>
      </w:r>
      <w:r w:rsidR="001D68A0" w:rsidRPr="005F2054">
        <w:rPr>
          <w:rFonts w:ascii="Arial" w:hAnsi="Arial" w:cs="Arial"/>
          <w:color w:val="212121"/>
          <w:shd w:val="clear" w:color="auto" w:fill="FFFFFF"/>
          <w:lang w:val="en-US"/>
        </w:rPr>
        <w:t xml:space="preserve">with the more severe cases observed in liver transplant </w:t>
      </w:r>
      <w:r w:rsidR="001D68A0" w:rsidRPr="00FF5533">
        <w:rPr>
          <w:rFonts w:ascii="Arial" w:hAnsi="Arial" w:cs="Arial"/>
          <w:shd w:val="clear" w:color="auto" w:fill="FFFFFF"/>
          <w:lang w:val="en-US"/>
        </w:rPr>
        <w:t xml:space="preserve">recipients </w:t>
      </w:r>
      <w:r w:rsidR="000763D1" w:rsidRPr="00FF5533">
        <w:rPr>
          <w:rFonts w:ascii="Arial" w:hAnsi="Arial" w:cs="Arial"/>
          <w:shd w:val="clear" w:color="auto" w:fill="FFFFFF"/>
          <w:lang w:val="en-US"/>
        </w:rPr>
        <w:t>(</w:t>
      </w:r>
      <w:r w:rsidR="00D61D11" w:rsidRPr="00FF5533">
        <w:rPr>
          <w:rFonts w:ascii="Arial" w:hAnsi="Arial" w:cs="Arial"/>
          <w:shd w:val="clear" w:color="auto" w:fill="FFFFFF"/>
          <w:lang w:val="en-US"/>
        </w:rPr>
        <w:t>68)</w:t>
      </w:r>
      <w:r w:rsidR="006C45FC" w:rsidRPr="00FF5533">
        <w:rPr>
          <w:rFonts w:ascii="Arial" w:hAnsi="Arial" w:cs="Arial"/>
          <w:shd w:val="clear" w:color="auto" w:fill="FFFFFF"/>
          <w:lang w:val="en-US"/>
        </w:rPr>
        <w:t xml:space="preserve">. </w:t>
      </w:r>
      <w:r w:rsidR="001D68A0" w:rsidRPr="00FF5533">
        <w:rPr>
          <w:rFonts w:ascii="Arial" w:hAnsi="Arial" w:cs="Arial"/>
          <w:shd w:val="clear" w:color="auto" w:fill="FFFFFF"/>
          <w:lang w:val="en-US"/>
        </w:rPr>
        <w:t>However</w:t>
      </w:r>
      <w:r w:rsidR="001D68A0" w:rsidRPr="005F2054">
        <w:rPr>
          <w:rFonts w:ascii="Arial" w:hAnsi="Arial" w:cs="Arial"/>
          <w:color w:val="000000" w:themeColor="text1"/>
          <w:shd w:val="clear" w:color="auto" w:fill="FFFFFF"/>
          <w:lang w:val="en-US"/>
        </w:rPr>
        <w:t xml:space="preserve">, a tendency toward higher levels is typically seen, likely due to supplementation. </w:t>
      </w:r>
      <w:r w:rsidR="00190A72" w:rsidRPr="005F2054">
        <w:rPr>
          <w:rFonts w:ascii="Arial" w:hAnsi="Arial" w:cs="Arial"/>
          <w:color w:val="212121"/>
          <w:shd w:val="clear" w:color="auto" w:fill="FFFFFF"/>
          <w:lang w:val="en-US"/>
        </w:rPr>
        <w:t xml:space="preserve">This deficiency, </w:t>
      </w:r>
      <w:r w:rsidR="006C45FC" w:rsidRPr="005F2054">
        <w:rPr>
          <w:rFonts w:ascii="Arial" w:hAnsi="Arial" w:cs="Arial"/>
          <w:color w:val="212121"/>
          <w:shd w:val="clear" w:color="auto" w:fill="FFFFFF"/>
          <w:lang w:val="en-US"/>
        </w:rPr>
        <w:t xml:space="preserve">along </w:t>
      </w:r>
      <w:r w:rsidR="00190A72" w:rsidRPr="005F2054">
        <w:rPr>
          <w:rFonts w:ascii="Arial" w:hAnsi="Arial" w:cs="Arial"/>
          <w:color w:val="212121"/>
          <w:shd w:val="clear" w:color="auto" w:fill="FFFFFF"/>
          <w:lang w:val="en-US"/>
        </w:rPr>
        <w:t xml:space="preserve">with factors such as immobilization, low sunlight </w:t>
      </w:r>
      <w:r w:rsidR="006C45FC" w:rsidRPr="005F2054">
        <w:rPr>
          <w:rFonts w:ascii="Arial" w:hAnsi="Arial" w:cs="Arial"/>
          <w:color w:val="212121"/>
          <w:shd w:val="clear" w:color="auto" w:fill="FFFFFF"/>
          <w:lang w:val="en-US"/>
        </w:rPr>
        <w:t xml:space="preserve">exposure, and </w:t>
      </w:r>
      <w:r w:rsidR="001D68A0" w:rsidRPr="005F2054">
        <w:rPr>
          <w:rFonts w:ascii="Arial" w:hAnsi="Arial" w:cs="Arial"/>
          <w:color w:val="212121"/>
          <w:shd w:val="clear" w:color="auto" w:fill="FFFFFF"/>
          <w:lang w:val="en-US"/>
        </w:rPr>
        <w:t xml:space="preserve">inadequate </w:t>
      </w:r>
      <w:r w:rsidR="00190A72" w:rsidRPr="005F2054">
        <w:rPr>
          <w:rFonts w:ascii="Arial" w:hAnsi="Arial" w:cs="Arial"/>
          <w:color w:val="212121"/>
          <w:shd w:val="clear" w:color="auto" w:fill="FFFFFF"/>
          <w:lang w:val="en-US"/>
        </w:rPr>
        <w:t xml:space="preserve">vitamin D </w:t>
      </w:r>
      <w:r w:rsidR="006C45FC" w:rsidRPr="005F2054">
        <w:rPr>
          <w:rFonts w:ascii="Arial" w:hAnsi="Arial" w:cs="Arial"/>
          <w:color w:val="212121"/>
          <w:shd w:val="clear" w:color="auto" w:fill="FFFFFF"/>
          <w:lang w:val="en-US"/>
        </w:rPr>
        <w:t xml:space="preserve">intake, </w:t>
      </w:r>
      <w:r w:rsidR="00190A72" w:rsidRPr="005F2054">
        <w:rPr>
          <w:rFonts w:ascii="Arial" w:hAnsi="Arial" w:cs="Arial"/>
          <w:color w:val="212121"/>
          <w:shd w:val="clear" w:color="auto" w:fill="FFFFFF"/>
          <w:lang w:val="en-US"/>
        </w:rPr>
        <w:t>c</w:t>
      </w:r>
      <w:r w:rsidR="001D68A0" w:rsidRPr="005F2054">
        <w:rPr>
          <w:rFonts w:ascii="Arial" w:hAnsi="Arial" w:cs="Arial"/>
          <w:color w:val="212121"/>
          <w:shd w:val="clear" w:color="auto" w:fill="FFFFFF"/>
          <w:lang w:val="en-US"/>
        </w:rPr>
        <w:t xml:space="preserve">ontributes to an increased risk of bone loss. Additionally, </w:t>
      </w:r>
      <w:r w:rsidR="00F75D71" w:rsidRPr="005F2054">
        <w:rPr>
          <w:rFonts w:ascii="Arial" w:hAnsi="Arial" w:cs="Arial"/>
          <w:color w:val="212121"/>
          <w:shd w:val="clear" w:color="auto" w:fill="FFFFFF"/>
          <w:lang w:val="en-US"/>
        </w:rPr>
        <w:t>excess glucocorticoid</w:t>
      </w:r>
      <w:r w:rsidR="001D68A0" w:rsidRPr="005F2054">
        <w:rPr>
          <w:rFonts w:ascii="Arial" w:hAnsi="Arial" w:cs="Arial"/>
          <w:color w:val="212121"/>
          <w:shd w:val="clear" w:color="auto" w:fill="FFFFFF"/>
          <w:lang w:val="en-US"/>
        </w:rPr>
        <w:t xml:space="preserve"> leads to </w:t>
      </w:r>
      <w:r w:rsidR="00597750" w:rsidRPr="005F2054">
        <w:rPr>
          <w:rFonts w:ascii="Arial" w:hAnsi="Arial" w:cs="Arial"/>
          <w:color w:val="212121"/>
          <w:shd w:val="clear" w:color="auto" w:fill="FFFFFF"/>
          <w:lang w:val="en-US"/>
        </w:rPr>
        <w:t>an increased</w:t>
      </w:r>
      <w:r w:rsidR="001D68A0" w:rsidRPr="005F2054">
        <w:rPr>
          <w:rFonts w:ascii="Arial" w:hAnsi="Arial" w:cs="Arial"/>
          <w:color w:val="212121"/>
          <w:shd w:val="clear" w:color="auto" w:fill="FFFFFF"/>
          <w:lang w:val="en-US"/>
        </w:rPr>
        <w:t xml:space="preserve"> catabolism </w:t>
      </w:r>
      <w:r w:rsidR="000763D1" w:rsidRPr="005F2054">
        <w:rPr>
          <w:rFonts w:ascii="Arial" w:hAnsi="Arial" w:cs="Arial"/>
          <w:color w:val="212121"/>
          <w:shd w:val="clear" w:color="auto" w:fill="FFFFFF"/>
          <w:lang w:val="en-US"/>
        </w:rPr>
        <w:t>of 25OHD</w:t>
      </w:r>
      <w:r w:rsidR="009E76BA" w:rsidRPr="005F2054">
        <w:rPr>
          <w:rFonts w:ascii="Arial" w:hAnsi="Arial" w:cs="Arial"/>
          <w:color w:val="212121"/>
          <w:shd w:val="clear" w:color="auto" w:fill="FFFFFF"/>
          <w:lang w:val="en-US"/>
        </w:rPr>
        <w:t>.</w:t>
      </w:r>
    </w:p>
    <w:p w14:paraId="5DCCE06F" w14:textId="77777777" w:rsidR="00FF5533" w:rsidRPr="005F2054" w:rsidRDefault="00FF5533" w:rsidP="005F2054">
      <w:pPr>
        <w:spacing w:after="0"/>
        <w:contextualSpacing/>
        <w:rPr>
          <w:rFonts w:ascii="Arial" w:hAnsi="Arial" w:cs="Arial"/>
          <w:color w:val="212121"/>
          <w:shd w:val="clear" w:color="auto" w:fill="FFFFFF"/>
          <w:lang w:val="en-US"/>
        </w:rPr>
      </w:pPr>
    </w:p>
    <w:p w14:paraId="319D60B2" w14:textId="7649A463" w:rsidR="00190A72" w:rsidRDefault="009E76BA" w:rsidP="005F2054">
      <w:pPr>
        <w:spacing w:after="0"/>
        <w:contextualSpacing/>
        <w:rPr>
          <w:rFonts w:ascii="Arial" w:hAnsi="Arial" w:cs="Arial"/>
          <w:color w:val="212121"/>
          <w:shd w:val="clear" w:color="auto" w:fill="FFFFFF"/>
          <w:lang w:val="en-US"/>
        </w:rPr>
      </w:pPr>
      <w:r w:rsidRPr="005F2054">
        <w:rPr>
          <w:rFonts w:ascii="Arial" w:hAnsi="Arial" w:cs="Arial"/>
          <w:color w:val="212121"/>
          <w:shd w:val="clear" w:color="auto" w:fill="FFFFFF"/>
          <w:lang w:val="en-US"/>
        </w:rPr>
        <w:t>Furthermore, t</w:t>
      </w:r>
      <w:r w:rsidR="00190A72" w:rsidRPr="005F2054">
        <w:rPr>
          <w:rFonts w:ascii="Arial" w:hAnsi="Arial" w:cs="Arial"/>
          <w:color w:val="212121"/>
          <w:shd w:val="clear" w:color="auto" w:fill="FFFFFF"/>
          <w:lang w:val="en-US"/>
        </w:rPr>
        <w:t>he frequent</w:t>
      </w:r>
      <w:r w:rsidRPr="005F2054">
        <w:rPr>
          <w:rFonts w:ascii="Arial" w:hAnsi="Arial" w:cs="Arial"/>
          <w:color w:val="212121"/>
          <w:shd w:val="clear" w:color="auto" w:fill="FFFFFF"/>
          <w:lang w:val="en-US"/>
        </w:rPr>
        <w:t xml:space="preserve">ly observed </w:t>
      </w:r>
      <w:r w:rsidR="00190A72" w:rsidRPr="005F2054">
        <w:rPr>
          <w:rFonts w:ascii="Arial" w:hAnsi="Arial" w:cs="Arial"/>
          <w:color w:val="212121"/>
          <w:shd w:val="clear" w:color="auto" w:fill="FFFFFF"/>
          <w:lang w:val="en-US"/>
        </w:rPr>
        <w:t xml:space="preserve">lower </w:t>
      </w:r>
      <w:r w:rsidR="00190A72" w:rsidRPr="005F2054">
        <w:rPr>
          <w:rFonts w:ascii="Arial" w:hAnsi="Arial" w:cs="Arial"/>
          <w:shd w:val="clear" w:color="auto" w:fill="FFFFFF"/>
          <w:lang w:val="en-US"/>
        </w:rPr>
        <w:t>testosterone</w:t>
      </w:r>
      <w:r w:rsidR="00190A72" w:rsidRPr="005F2054">
        <w:rPr>
          <w:rFonts w:ascii="Arial" w:hAnsi="Arial" w:cs="Arial"/>
          <w:color w:val="FF0000"/>
          <w:shd w:val="clear" w:color="auto" w:fill="FFFFFF"/>
          <w:lang w:val="en-US"/>
        </w:rPr>
        <w:t xml:space="preserve"> </w:t>
      </w:r>
      <w:r w:rsidR="00190A72" w:rsidRPr="005F2054">
        <w:rPr>
          <w:rFonts w:ascii="Arial" w:hAnsi="Arial" w:cs="Arial"/>
          <w:color w:val="212121"/>
          <w:shd w:val="clear" w:color="auto" w:fill="FFFFFF"/>
          <w:lang w:val="en-US"/>
        </w:rPr>
        <w:t xml:space="preserve">levels found in transplant patients, </w:t>
      </w:r>
      <w:r w:rsidRPr="005F2054">
        <w:rPr>
          <w:rFonts w:ascii="Arial" w:hAnsi="Arial" w:cs="Arial"/>
          <w:color w:val="212121"/>
          <w:shd w:val="clear" w:color="auto" w:fill="FFFFFF"/>
          <w:lang w:val="en-US"/>
        </w:rPr>
        <w:t>which</w:t>
      </w:r>
      <w:r w:rsidR="00190A72" w:rsidRPr="005F2054">
        <w:rPr>
          <w:rFonts w:ascii="Arial" w:hAnsi="Arial" w:cs="Arial"/>
          <w:color w:val="212121"/>
          <w:shd w:val="clear" w:color="auto" w:fill="FFFFFF"/>
          <w:lang w:val="en-US"/>
        </w:rPr>
        <w:t xml:space="preserve"> contribute to bone loss,</w:t>
      </w:r>
      <w:r w:rsidRPr="005F2054">
        <w:rPr>
          <w:rFonts w:ascii="Arial" w:hAnsi="Arial" w:cs="Arial"/>
          <w:color w:val="212121"/>
          <w:shd w:val="clear" w:color="auto" w:fill="FFFFFF"/>
          <w:lang w:val="en-US"/>
        </w:rPr>
        <w:t xml:space="preserve"> generally recover within one year</w:t>
      </w:r>
      <w:r w:rsidR="00190A72" w:rsidRPr="005F2054">
        <w:rPr>
          <w:rFonts w:ascii="Arial" w:hAnsi="Arial" w:cs="Arial"/>
          <w:color w:val="212121"/>
          <w:shd w:val="clear" w:color="auto" w:fill="FFFFFF"/>
          <w:lang w:val="en-US"/>
        </w:rPr>
        <w:t>.</w:t>
      </w:r>
    </w:p>
    <w:p w14:paraId="5FB1834B" w14:textId="77777777" w:rsidR="00FF5533" w:rsidRPr="005F2054" w:rsidRDefault="00FF5533" w:rsidP="005F2054">
      <w:pPr>
        <w:spacing w:after="0"/>
        <w:contextualSpacing/>
        <w:rPr>
          <w:rFonts w:ascii="Arial" w:hAnsi="Arial" w:cs="Arial"/>
          <w:color w:val="212121"/>
          <w:shd w:val="clear" w:color="auto" w:fill="FFFFFF"/>
          <w:lang w:val="en-US"/>
        </w:rPr>
      </w:pPr>
    </w:p>
    <w:p w14:paraId="03A6B61D" w14:textId="6B69EEBB" w:rsidR="00DF1750" w:rsidRPr="005F2054" w:rsidRDefault="00D96C4B" w:rsidP="005F2054">
      <w:pPr>
        <w:spacing w:after="0"/>
        <w:contextualSpacing/>
        <w:rPr>
          <w:rFonts w:ascii="Arial" w:hAnsi="Arial" w:cs="Arial"/>
          <w:lang w:val="en-US"/>
        </w:rPr>
      </w:pPr>
      <w:r w:rsidRPr="005F2054">
        <w:rPr>
          <w:rFonts w:ascii="Arial" w:hAnsi="Arial" w:cs="Arial"/>
          <w:color w:val="000000" w:themeColor="text1"/>
          <w:lang w:val="en-US"/>
        </w:rPr>
        <w:t>Hypomagnesemia</w:t>
      </w:r>
      <w:r w:rsidR="00DF1750" w:rsidRPr="005F2054">
        <w:rPr>
          <w:rFonts w:ascii="Arial" w:hAnsi="Arial" w:cs="Arial"/>
          <w:color w:val="000000" w:themeColor="text1"/>
          <w:lang w:val="en-US"/>
        </w:rPr>
        <w:t xml:space="preserve"> </w:t>
      </w:r>
      <w:r w:rsidR="009E76BA" w:rsidRPr="005F2054">
        <w:rPr>
          <w:rFonts w:ascii="Arial" w:hAnsi="Arial" w:cs="Arial"/>
          <w:color w:val="000000" w:themeColor="text1"/>
          <w:lang w:val="en-US"/>
        </w:rPr>
        <w:t>is commonly observed in kidney and cardiac transplant recipients and has b</w:t>
      </w:r>
      <w:r w:rsidR="00DF1750" w:rsidRPr="005F2054">
        <w:rPr>
          <w:rFonts w:ascii="Arial" w:hAnsi="Arial" w:cs="Arial"/>
          <w:color w:val="000000" w:themeColor="text1"/>
          <w:lang w:val="en-US"/>
        </w:rPr>
        <w:t>e</w:t>
      </w:r>
      <w:r w:rsidR="00DF1750" w:rsidRPr="005F2054">
        <w:rPr>
          <w:rFonts w:ascii="Arial" w:hAnsi="Arial" w:cs="Arial"/>
          <w:lang w:val="en-US"/>
        </w:rPr>
        <w:t xml:space="preserve">en </w:t>
      </w:r>
      <w:r w:rsidR="00001CD1" w:rsidRPr="005F2054">
        <w:rPr>
          <w:rFonts w:ascii="Arial" w:hAnsi="Arial" w:cs="Arial"/>
          <w:lang w:val="en-US"/>
        </w:rPr>
        <w:t xml:space="preserve">associated </w:t>
      </w:r>
      <w:r w:rsidR="004A32E1" w:rsidRPr="005F2054">
        <w:rPr>
          <w:rFonts w:ascii="Arial" w:hAnsi="Arial" w:cs="Arial"/>
          <w:lang w:val="en-US"/>
        </w:rPr>
        <w:t>with</w:t>
      </w:r>
      <w:r w:rsidR="00DF1750" w:rsidRPr="005F2054">
        <w:rPr>
          <w:rFonts w:ascii="Arial" w:hAnsi="Arial" w:cs="Arial"/>
          <w:lang w:val="en-US"/>
        </w:rPr>
        <w:t xml:space="preserve"> the use of calcineurin inhibitors</w:t>
      </w:r>
      <w:r w:rsidR="009E76BA" w:rsidRPr="005F2054">
        <w:rPr>
          <w:rFonts w:ascii="Arial" w:hAnsi="Arial" w:cs="Arial"/>
          <w:lang w:val="en-US"/>
        </w:rPr>
        <w:t xml:space="preserve">, particularly </w:t>
      </w:r>
      <w:r w:rsidR="00DF1750" w:rsidRPr="005F2054">
        <w:rPr>
          <w:rFonts w:ascii="Arial" w:hAnsi="Arial" w:cs="Arial"/>
          <w:lang w:val="en-US"/>
        </w:rPr>
        <w:t xml:space="preserve">tacrolimus. </w:t>
      </w:r>
      <w:r w:rsidRPr="005F2054">
        <w:rPr>
          <w:rFonts w:ascii="Arial" w:hAnsi="Arial" w:cs="Arial"/>
          <w:lang w:val="en-US"/>
        </w:rPr>
        <w:t>Hypomagnesemia</w:t>
      </w:r>
      <w:r w:rsidR="00DF1750" w:rsidRPr="005F2054">
        <w:rPr>
          <w:rFonts w:ascii="Arial" w:hAnsi="Arial" w:cs="Arial"/>
          <w:lang w:val="en-US"/>
        </w:rPr>
        <w:t xml:space="preserve"> </w:t>
      </w:r>
      <w:r w:rsidR="00772E17" w:rsidRPr="005F2054">
        <w:rPr>
          <w:rFonts w:ascii="Arial" w:hAnsi="Arial" w:cs="Arial"/>
          <w:lang w:val="en-US"/>
        </w:rPr>
        <w:t xml:space="preserve">can </w:t>
      </w:r>
      <w:r w:rsidR="00001CD1" w:rsidRPr="005F2054">
        <w:rPr>
          <w:rFonts w:ascii="Arial" w:hAnsi="Arial" w:cs="Arial"/>
          <w:lang w:val="en-US"/>
        </w:rPr>
        <w:t>lead</w:t>
      </w:r>
      <w:r w:rsidR="00772E17" w:rsidRPr="005F2054">
        <w:rPr>
          <w:rFonts w:ascii="Arial" w:hAnsi="Arial" w:cs="Arial"/>
          <w:lang w:val="en-US"/>
        </w:rPr>
        <w:t xml:space="preserve"> to </w:t>
      </w:r>
      <w:r w:rsidR="00DF1750" w:rsidRPr="005F2054">
        <w:rPr>
          <w:rFonts w:ascii="Arial" w:hAnsi="Arial" w:cs="Arial"/>
          <w:lang w:val="en-US"/>
        </w:rPr>
        <w:t xml:space="preserve">bone loss by </w:t>
      </w:r>
      <w:r w:rsidR="00772E17" w:rsidRPr="005F2054">
        <w:rPr>
          <w:rFonts w:ascii="Arial" w:hAnsi="Arial" w:cs="Arial"/>
          <w:lang w:val="en-US"/>
        </w:rPr>
        <w:t>i</w:t>
      </w:r>
      <w:r w:rsidR="00DF1750" w:rsidRPr="005F2054">
        <w:rPr>
          <w:rFonts w:ascii="Arial" w:hAnsi="Arial" w:cs="Arial"/>
          <w:lang w:val="en-US"/>
        </w:rPr>
        <w:t xml:space="preserve">ncreasing </w:t>
      </w:r>
      <w:r w:rsidR="00001CD1" w:rsidRPr="005F2054">
        <w:rPr>
          <w:rFonts w:ascii="Arial" w:hAnsi="Arial" w:cs="Arial"/>
          <w:lang w:val="en-US"/>
        </w:rPr>
        <w:t xml:space="preserve">the number of osteoclasts </w:t>
      </w:r>
      <w:r w:rsidR="00DF1750" w:rsidRPr="005F2054">
        <w:rPr>
          <w:rFonts w:ascii="Arial" w:hAnsi="Arial" w:cs="Arial"/>
          <w:lang w:val="en-US"/>
        </w:rPr>
        <w:t>and decreasing osteoblasts</w:t>
      </w:r>
      <w:r w:rsidR="006B2BF9" w:rsidRPr="005F2054">
        <w:rPr>
          <w:rFonts w:ascii="Arial" w:hAnsi="Arial" w:cs="Arial"/>
          <w:lang w:val="en-US"/>
        </w:rPr>
        <w:t xml:space="preserve">, </w:t>
      </w:r>
      <w:r w:rsidR="00001CD1" w:rsidRPr="005F2054">
        <w:rPr>
          <w:rFonts w:ascii="Arial" w:hAnsi="Arial" w:cs="Arial"/>
          <w:lang w:val="en-US"/>
        </w:rPr>
        <w:t xml:space="preserve">resulting in the </w:t>
      </w:r>
      <w:r w:rsidR="006B2BF9" w:rsidRPr="005F2054">
        <w:rPr>
          <w:rFonts w:ascii="Arial" w:hAnsi="Arial" w:cs="Arial"/>
          <w:lang w:val="en-US"/>
        </w:rPr>
        <w:t xml:space="preserve">deterioration of trabecular bone mass and stiffness, along with </w:t>
      </w:r>
      <w:r w:rsidR="00001CD1" w:rsidRPr="005F2054">
        <w:rPr>
          <w:rFonts w:ascii="Arial" w:hAnsi="Arial" w:cs="Arial"/>
          <w:lang w:val="en-US"/>
        </w:rPr>
        <w:t xml:space="preserve">elevated </w:t>
      </w:r>
      <w:r w:rsidR="006B2BF9" w:rsidRPr="005F2054">
        <w:rPr>
          <w:rFonts w:ascii="Arial" w:hAnsi="Arial" w:cs="Arial"/>
          <w:lang w:val="en-US"/>
        </w:rPr>
        <w:t>PTH</w:t>
      </w:r>
      <w:r w:rsidR="00001CD1" w:rsidRPr="005F2054">
        <w:rPr>
          <w:rFonts w:ascii="Arial" w:hAnsi="Arial" w:cs="Arial"/>
          <w:lang w:val="en-US"/>
        </w:rPr>
        <w:t xml:space="preserve"> levels</w:t>
      </w:r>
      <w:r w:rsidR="006B2BF9" w:rsidRPr="005F2054">
        <w:rPr>
          <w:rFonts w:ascii="Arial" w:hAnsi="Arial" w:cs="Arial"/>
          <w:lang w:val="en-US"/>
        </w:rPr>
        <w:t xml:space="preserve"> (127).</w:t>
      </w:r>
    </w:p>
    <w:p w14:paraId="568BAD48" w14:textId="77777777" w:rsidR="00116D44" w:rsidRPr="005F2054" w:rsidRDefault="00116D44" w:rsidP="005F2054">
      <w:pPr>
        <w:spacing w:after="0"/>
        <w:contextualSpacing/>
        <w:rPr>
          <w:rFonts w:ascii="Arial" w:hAnsi="Arial" w:cs="Arial"/>
          <w:lang w:val="en-US"/>
        </w:rPr>
      </w:pPr>
    </w:p>
    <w:p w14:paraId="005E2A08" w14:textId="6724214E" w:rsidR="00A65DA5" w:rsidRPr="008E5767" w:rsidRDefault="00770258" w:rsidP="005F2054">
      <w:pPr>
        <w:spacing w:after="0"/>
        <w:contextualSpacing/>
        <w:rPr>
          <w:rFonts w:ascii="Arial" w:hAnsi="Arial" w:cs="Arial"/>
          <w:b/>
          <w:bCs/>
          <w:color w:val="1F497D" w:themeColor="text2"/>
          <w:shd w:val="clear" w:color="auto" w:fill="FFFFFF"/>
          <w:lang w:val="en-US"/>
        </w:rPr>
      </w:pPr>
      <w:r w:rsidRPr="008E5767">
        <w:rPr>
          <w:rFonts w:ascii="Arial" w:hAnsi="Arial" w:cs="Arial"/>
          <w:b/>
          <w:bCs/>
          <w:color w:val="1F497D" w:themeColor="text2"/>
          <w:shd w:val="clear" w:color="auto" w:fill="FFFFFF"/>
          <w:lang w:val="en-US"/>
        </w:rPr>
        <w:t>POST-TRANSPLANT OSTEOPOROSIS MANAGEMENT</w:t>
      </w:r>
    </w:p>
    <w:p w14:paraId="615B307B" w14:textId="77777777" w:rsidR="008E5767" w:rsidRPr="008E5767" w:rsidRDefault="008E5767" w:rsidP="005F2054">
      <w:pPr>
        <w:pStyle w:val="NormalWeb"/>
        <w:spacing w:before="0" w:beforeAutospacing="0" w:after="0" w:afterAutospacing="0" w:line="276" w:lineRule="auto"/>
        <w:rPr>
          <w:rStyle w:val="Strong"/>
          <w:rFonts w:ascii="Arial" w:eastAsiaTheme="majorEastAsia" w:hAnsi="Arial" w:cs="Arial"/>
          <w:color w:val="4F6228" w:themeColor="accent3" w:themeShade="80"/>
          <w:sz w:val="22"/>
          <w:szCs w:val="22"/>
          <w:lang w:val="en-US"/>
        </w:rPr>
      </w:pPr>
    </w:p>
    <w:p w14:paraId="474E23BE" w14:textId="59C19972" w:rsidR="00770258" w:rsidRPr="005F2054" w:rsidRDefault="00770258" w:rsidP="005F2054">
      <w:pPr>
        <w:pStyle w:val="NormalWeb"/>
        <w:spacing w:before="0" w:beforeAutospacing="0" w:after="0" w:afterAutospacing="0" w:line="276" w:lineRule="auto"/>
        <w:rPr>
          <w:rStyle w:val="Strong"/>
          <w:rFonts w:ascii="Arial" w:eastAsiaTheme="majorEastAsia" w:hAnsi="Arial" w:cs="Arial"/>
          <w:color w:val="4F6228" w:themeColor="accent3" w:themeShade="80"/>
          <w:sz w:val="22"/>
          <w:szCs w:val="22"/>
          <w:lang w:val="en-US"/>
        </w:rPr>
      </w:pPr>
      <w:r w:rsidRPr="005F2054">
        <w:rPr>
          <w:rStyle w:val="Strong"/>
          <w:rFonts w:ascii="Arial" w:eastAsiaTheme="majorEastAsia" w:hAnsi="Arial" w:cs="Arial"/>
          <w:color w:val="4F6228" w:themeColor="accent3" w:themeShade="80"/>
          <w:sz w:val="22"/>
          <w:szCs w:val="22"/>
          <w:lang w:val="en-US"/>
        </w:rPr>
        <w:t>P</w:t>
      </w:r>
      <w:r w:rsidR="008E5767">
        <w:rPr>
          <w:rStyle w:val="Strong"/>
          <w:rFonts w:ascii="Arial" w:eastAsiaTheme="majorEastAsia" w:hAnsi="Arial" w:cs="Arial"/>
          <w:color w:val="4F6228" w:themeColor="accent3" w:themeShade="80"/>
          <w:sz w:val="22"/>
          <w:szCs w:val="22"/>
          <w:lang w:val="en-US"/>
        </w:rPr>
        <w:t xml:space="preserve">re-Transplant Considerations </w:t>
      </w:r>
    </w:p>
    <w:p w14:paraId="2FD48038" w14:textId="77777777" w:rsidR="008E5767" w:rsidRDefault="008E5767" w:rsidP="005F2054">
      <w:pPr>
        <w:pStyle w:val="NormalWeb"/>
        <w:spacing w:before="0" w:beforeAutospacing="0" w:after="0" w:afterAutospacing="0" w:line="276" w:lineRule="auto"/>
        <w:rPr>
          <w:rFonts w:ascii="Arial" w:hAnsi="Arial" w:cs="Arial"/>
          <w:sz w:val="22"/>
          <w:szCs w:val="22"/>
          <w:lang w:val="en-US"/>
        </w:rPr>
      </w:pPr>
    </w:p>
    <w:p w14:paraId="6B7A75EB" w14:textId="025FC9FC" w:rsidR="0057112D" w:rsidRDefault="009C2D82" w:rsidP="005F2054">
      <w:pPr>
        <w:pStyle w:val="NormalWeb"/>
        <w:spacing w:before="0" w:beforeAutospacing="0" w:after="0" w:afterAutospacing="0" w:line="276" w:lineRule="auto"/>
        <w:rPr>
          <w:rStyle w:val="Strong"/>
          <w:rFonts w:ascii="Arial" w:eastAsiaTheme="majorEastAsia" w:hAnsi="Arial" w:cs="Arial"/>
          <w:b w:val="0"/>
          <w:bCs w:val="0"/>
          <w:sz w:val="22"/>
          <w:szCs w:val="22"/>
          <w:lang w:val="en-US"/>
        </w:rPr>
      </w:pPr>
      <w:r w:rsidRPr="005F2054">
        <w:rPr>
          <w:rFonts w:ascii="Arial" w:hAnsi="Arial" w:cs="Arial"/>
          <w:sz w:val="22"/>
          <w:szCs w:val="22"/>
          <w:lang w:val="en-US"/>
        </w:rPr>
        <w:t>The evaluation</w:t>
      </w:r>
      <w:r w:rsidR="0057112D" w:rsidRPr="005F2054">
        <w:rPr>
          <w:rFonts w:ascii="Arial" w:hAnsi="Arial" w:cs="Arial"/>
          <w:sz w:val="22"/>
          <w:szCs w:val="22"/>
          <w:lang w:val="en-US"/>
        </w:rPr>
        <w:t xml:space="preserve"> of bone metabolism and fracture risk in candidates for solid organ transplantation</w:t>
      </w:r>
      <w:r w:rsidRPr="005F2054">
        <w:rPr>
          <w:rFonts w:ascii="Arial" w:hAnsi="Arial" w:cs="Arial"/>
          <w:sz w:val="22"/>
          <w:szCs w:val="22"/>
          <w:lang w:val="en-US"/>
        </w:rPr>
        <w:t xml:space="preserve"> </w:t>
      </w:r>
      <w:r w:rsidR="0057112D" w:rsidRPr="005F2054">
        <w:rPr>
          <w:rFonts w:ascii="Arial" w:hAnsi="Arial" w:cs="Arial"/>
          <w:sz w:val="22"/>
          <w:szCs w:val="22"/>
          <w:lang w:val="en-US"/>
        </w:rPr>
        <w:t>should include</w:t>
      </w:r>
      <w:r w:rsidR="009E0FC5" w:rsidRPr="005F2054">
        <w:rPr>
          <w:rFonts w:ascii="Arial" w:hAnsi="Arial" w:cs="Arial"/>
          <w:sz w:val="22"/>
          <w:szCs w:val="22"/>
          <w:lang w:val="en-US"/>
        </w:rPr>
        <w:t xml:space="preserve"> </w:t>
      </w:r>
      <w:r w:rsidRPr="005F2054">
        <w:rPr>
          <w:rFonts w:ascii="Arial" w:hAnsi="Arial" w:cs="Arial"/>
          <w:sz w:val="22"/>
          <w:szCs w:val="22"/>
          <w:lang w:val="en-US"/>
        </w:rPr>
        <w:t xml:space="preserve">the following components </w:t>
      </w:r>
      <w:r w:rsidR="009E0FC5" w:rsidRPr="005F2054">
        <w:rPr>
          <w:rStyle w:val="Strong"/>
          <w:rFonts w:ascii="Arial" w:eastAsiaTheme="majorEastAsia" w:hAnsi="Arial" w:cs="Arial"/>
          <w:b w:val="0"/>
          <w:bCs w:val="0"/>
          <w:sz w:val="22"/>
          <w:szCs w:val="22"/>
          <w:lang w:val="en-US"/>
        </w:rPr>
        <w:t>(Table 5):</w:t>
      </w:r>
    </w:p>
    <w:p w14:paraId="7377EE04" w14:textId="77777777" w:rsidR="008E5767" w:rsidRPr="005F2054" w:rsidRDefault="008E5767" w:rsidP="005F2054">
      <w:pPr>
        <w:pStyle w:val="NormalWeb"/>
        <w:spacing w:before="0" w:beforeAutospacing="0" w:after="0" w:afterAutospacing="0" w:line="276" w:lineRule="auto"/>
        <w:rPr>
          <w:rFonts w:ascii="Arial" w:hAnsi="Arial" w:cs="Arial"/>
          <w:sz w:val="22"/>
          <w:szCs w:val="22"/>
          <w:lang w:val="en-US"/>
        </w:rPr>
      </w:pPr>
    </w:p>
    <w:p w14:paraId="540AADB5" w14:textId="3D4B5F26" w:rsidR="0057112D" w:rsidRDefault="00E06439" w:rsidP="005F2054">
      <w:pPr>
        <w:pStyle w:val="NormalWeb"/>
        <w:spacing w:before="0" w:beforeAutospacing="0" w:after="0" w:afterAutospacing="0" w:line="276" w:lineRule="auto"/>
        <w:rPr>
          <w:rFonts w:ascii="Arial" w:hAnsi="Arial" w:cs="Arial"/>
          <w:sz w:val="22"/>
          <w:szCs w:val="22"/>
          <w:lang w:val="en-US"/>
        </w:rPr>
      </w:pPr>
      <w:r w:rsidRPr="005F2054">
        <w:rPr>
          <w:rStyle w:val="Strong"/>
          <w:rFonts w:ascii="Arial" w:eastAsiaTheme="majorEastAsia" w:hAnsi="Arial" w:cs="Arial"/>
          <w:sz w:val="22"/>
          <w:szCs w:val="22"/>
          <w:lang w:val="en-US"/>
        </w:rPr>
        <w:t>-</w:t>
      </w:r>
      <w:r w:rsidR="0057112D" w:rsidRPr="005F2054">
        <w:rPr>
          <w:rStyle w:val="Strong"/>
          <w:rFonts w:ascii="Arial" w:eastAsiaTheme="majorEastAsia" w:hAnsi="Arial" w:cs="Arial"/>
          <w:b w:val="0"/>
          <w:bCs w:val="0"/>
          <w:sz w:val="22"/>
          <w:szCs w:val="22"/>
          <w:lang w:val="en-US"/>
        </w:rPr>
        <w:t>Medical History, Physical Examination, and Assessment of Traditional Osteoporosis Risk Factors</w:t>
      </w:r>
      <w:r w:rsidR="0057112D" w:rsidRPr="005F2054">
        <w:rPr>
          <w:rStyle w:val="Strong"/>
          <w:rFonts w:ascii="Arial" w:eastAsiaTheme="majorEastAsia" w:hAnsi="Arial" w:cs="Arial"/>
          <w:sz w:val="22"/>
          <w:szCs w:val="22"/>
          <w:lang w:val="en-US"/>
        </w:rPr>
        <w:t>:</w:t>
      </w:r>
      <w:r w:rsidR="0057112D" w:rsidRPr="005F2054">
        <w:rPr>
          <w:rFonts w:ascii="Arial" w:hAnsi="Arial" w:cs="Arial"/>
          <w:sz w:val="22"/>
          <w:szCs w:val="22"/>
          <w:lang w:val="en-US"/>
        </w:rPr>
        <w:t xml:space="preserve"> </w:t>
      </w:r>
      <w:r w:rsidR="009C2D82" w:rsidRPr="005F2054">
        <w:rPr>
          <w:rFonts w:ascii="Arial" w:hAnsi="Arial" w:cs="Arial"/>
          <w:sz w:val="22"/>
          <w:szCs w:val="22"/>
          <w:lang w:val="en-US"/>
        </w:rPr>
        <w:t xml:space="preserve">Key elements include age, sex, low body weight, nutritional status, history of fragility fractures, and prior falls. Notably, </w:t>
      </w:r>
      <w:proofErr w:type="gramStart"/>
      <w:r w:rsidR="009C2D82" w:rsidRPr="005F2054">
        <w:rPr>
          <w:rFonts w:ascii="Arial" w:hAnsi="Arial" w:cs="Arial"/>
          <w:sz w:val="22"/>
          <w:szCs w:val="22"/>
          <w:lang w:val="en-US"/>
        </w:rPr>
        <w:t>a history</w:t>
      </w:r>
      <w:proofErr w:type="gramEnd"/>
      <w:r w:rsidR="009C2D82" w:rsidRPr="005F2054">
        <w:rPr>
          <w:rFonts w:ascii="Arial" w:hAnsi="Arial" w:cs="Arial"/>
          <w:sz w:val="22"/>
          <w:szCs w:val="22"/>
          <w:lang w:val="en-US"/>
        </w:rPr>
        <w:t xml:space="preserve"> of falls is an important independent risk factor for fractures in the general </w:t>
      </w:r>
      <w:r w:rsidR="009C2D82" w:rsidRPr="008E5767">
        <w:rPr>
          <w:rFonts w:ascii="Arial" w:hAnsi="Arial" w:cs="Arial"/>
          <w:sz w:val="22"/>
          <w:szCs w:val="22"/>
          <w:lang w:val="en-US"/>
        </w:rPr>
        <w:t xml:space="preserve">population </w:t>
      </w:r>
      <w:r w:rsidRPr="008E5767">
        <w:rPr>
          <w:rFonts w:ascii="Arial" w:hAnsi="Arial" w:cs="Arial"/>
          <w:sz w:val="22"/>
          <w:szCs w:val="22"/>
          <w:lang w:val="en-US"/>
        </w:rPr>
        <w:t xml:space="preserve">(68) </w:t>
      </w:r>
    </w:p>
    <w:p w14:paraId="61DD8BAA" w14:textId="77777777" w:rsidR="008E5767" w:rsidRPr="008E5767" w:rsidRDefault="008E5767" w:rsidP="005F2054">
      <w:pPr>
        <w:pStyle w:val="NormalWeb"/>
        <w:spacing w:before="0" w:beforeAutospacing="0" w:after="0" w:afterAutospacing="0" w:line="276" w:lineRule="auto"/>
        <w:rPr>
          <w:rFonts w:ascii="Arial" w:hAnsi="Arial" w:cs="Arial"/>
          <w:sz w:val="22"/>
          <w:szCs w:val="22"/>
          <w:lang w:val="en-US"/>
        </w:rPr>
      </w:pPr>
    </w:p>
    <w:p w14:paraId="38B6E3FA" w14:textId="0844B84A" w:rsidR="0057112D" w:rsidRDefault="00212D80" w:rsidP="005F2054">
      <w:pPr>
        <w:pStyle w:val="NormalWeb"/>
        <w:spacing w:before="0" w:beforeAutospacing="0" w:after="0" w:afterAutospacing="0" w:line="276" w:lineRule="auto"/>
        <w:rPr>
          <w:rFonts w:ascii="Arial" w:hAnsi="Arial" w:cs="Arial"/>
          <w:sz w:val="22"/>
          <w:szCs w:val="22"/>
          <w:lang w:val="en-US"/>
        </w:rPr>
      </w:pPr>
      <w:r w:rsidRPr="008E5767">
        <w:rPr>
          <w:rStyle w:val="Strong"/>
          <w:rFonts w:ascii="Arial" w:eastAsiaTheme="majorEastAsia" w:hAnsi="Arial" w:cs="Arial"/>
          <w:b w:val="0"/>
          <w:bCs w:val="0"/>
          <w:sz w:val="22"/>
          <w:szCs w:val="22"/>
          <w:lang w:val="en-US"/>
        </w:rPr>
        <w:t>-</w:t>
      </w:r>
      <w:r w:rsidR="0057112D" w:rsidRPr="008E5767">
        <w:rPr>
          <w:rStyle w:val="Strong"/>
          <w:rFonts w:ascii="Arial" w:eastAsiaTheme="majorEastAsia" w:hAnsi="Arial" w:cs="Arial"/>
          <w:b w:val="0"/>
          <w:bCs w:val="0"/>
          <w:sz w:val="22"/>
          <w:szCs w:val="22"/>
          <w:lang w:val="en-US"/>
        </w:rPr>
        <w:t xml:space="preserve">Evaluation of </w:t>
      </w:r>
      <w:r w:rsidR="009C2D82" w:rsidRPr="008E5767">
        <w:rPr>
          <w:rStyle w:val="Strong"/>
          <w:rFonts w:ascii="Arial" w:eastAsiaTheme="majorEastAsia" w:hAnsi="Arial" w:cs="Arial"/>
          <w:b w:val="0"/>
          <w:bCs w:val="0"/>
          <w:sz w:val="22"/>
          <w:szCs w:val="22"/>
          <w:lang w:val="en-US"/>
        </w:rPr>
        <w:t xml:space="preserve">Potential </w:t>
      </w:r>
      <w:r w:rsidR="0057112D" w:rsidRPr="008E5767">
        <w:rPr>
          <w:rStyle w:val="Strong"/>
          <w:rFonts w:ascii="Arial" w:eastAsiaTheme="majorEastAsia" w:hAnsi="Arial" w:cs="Arial"/>
          <w:b w:val="0"/>
          <w:bCs w:val="0"/>
          <w:sz w:val="22"/>
          <w:szCs w:val="22"/>
          <w:lang w:val="en-US"/>
        </w:rPr>
        <w:t>Secondary Causes of Osteoporosis</w:t>
      </w:r>
      <w:r w:rsidR="0057112D" w:rsidRPr="008E5767">
        <w:rPr>
          <w:rStyle w:val="Strong"/>
          <w:rFonts w:ascii="Arial" w:eastAsiaTheme="majorEastAsia" w:hAnsi="Arial" w:cs="Arial"/>
          <w:sz w:val="22"/>
          <w:szCs w:val="22"/>
          <w:lang w:val="en-US"/>
        </w:rPr>
        <w:t>:</w:t>
      </w:r>
      <w:r w:rsidR="0057112D" w:rsidRPr="008E5767">
        <w:rPr>
          <w:rFonts w:ascii="Arial" w:hAnsi="Arial" w:cs="Arial"/>
          <w:sz w:val="22"/>
          <w:szCs w:val="22"/>
          <w:lang w:val="en-US"/>
        </w:rPr>
        <w:t xml:space="preserve"> </w:t>
      </w:r>
      <w:r w:rsidR="009C2D82" w:rsidRPr="008E5767">
        <w:rPr>
          <w:rFonts w:ascii="Arial" w:hAnsi="Arial" w:cs="Arial"/>
          <w:sz w:val="22"/>
          <w:szCs w:val="22"/>
          <w:lang w:val="en-US"/>
        </w:rPr>
        <w:t>These may include endocrinological, nutritional, gastrointestinal, nephrological, rheumatological, hematological, and pharmacological factors</w:t>
      </w:r>
      <w:r w:rsidR="0057112D" w:rsidRPr="008E5767">
        <w:rPr>
          <w:rFonts w:ascii="Arial" w:hAnsi="Arial" w:cs="Arial"/>
          <w:sz w:val="22"/>
          <w:szCs w:val="22"/>
          <w:lang w:val="en-US"/>
        </w:rPr>
        <w:t xml:space="preserve"> </w:t>
      </w:r>
      <w:r w:rsidR="00122B29" w:rsidRPr="008E5767">
        <w:rPr>
          <w:rFonts w:ascii="Arial" w:hAnsi="Arial" w:cs="Arial"/>
          <w:sz w:val="22"/>
          <w:szCs w:val="22"/>
          <w:lang w:val="en-US"/>
        </w:rPr>
        <w:t>(69)</w:t>
      </w:r>
    </w:p>
    <w:p w14:paraId="47993F39" w14:textId="77777777" w:rsidR="008E5767" w:rsidRPr="008E5767" w:rsidRDefault="008E5767" w:rsidP="005F2054">
      <w:pPr>
        <w:pStyle w:val="NormalWeb"/>
        <w:spacing w:before="0" w:beforeAutospacing="0" w:after="0" w:afterAutospacing="0" w:line="276" w:lineRule="auto"/>
        <w:rPr>
          <w:rFonts w:ascii="Arial" w:hAnsi="Arial" w:cs="Arial"/>
          <w:sz w:val="22"/>
          <w:szCs w:val="22"/>
          <w:lang w:val="en-US"/>
        </w:rPr>
      </w:pPr>
    </w:p>
    <w:p w14:paraId="3D555943" w14:textId="1E143780" w:rsidR="00E06439" w:rsidRDefault="00212D80" w:rsidP="005F2054">
      <w:pPr>
        <w:pStyle w:val="NormalWeb"/>
        <w:spacing w:before="0" w:beforeAutospacing="0" w:after="0" w:afterAutospacing="0" w:line="276" w:lineRule="auto"/>
        <w:rPr>
          <w:rFonts w:ascii="Arial" w:hAnsi="Arial" w:cs="Arial"/>
          <w:sz w:val="22"/>
          <w:szCs w:val="22"/>
          <w:lang w:val="en-US"/>
        </w:rPr>
      </w:pPr>
      <w:r w:rsidRPr="005F2054">
        <w:rPr>
          <w:rStyle w:val="Strong"/>
          <w:rFonts w:ascii="Arial" w:eastAsiaTheme="majorEastAsia" w:hAnsi="Arial" w:cs="Arial"/>
          <w:b w:val="0"/>
          <w:bCs w:val="0"/>
          <w:sz w:val="22"/>
          <w:szCs w:val="22"/>
          <w:lang w:val="en-US"/>
        </w:rPr>
        <w:t>-</w:t>
      </w:r>
      <w:r w:rsidR="0057112D" w:rsidRPr="005F2054">
        <w:rPr>
          <w:rStyle w:val="Strong"/>
          <w:rFonts w:ascii="Arial" w:eastAsiaTheme="majorEastAsia" w:hAnsi="Arial" w:cs="Arial"/>
          <w:b w:val="0"/>
          <w:bCs w:val="0"/>
          <w:sz w:val="22"/>
          <w:szCs w:val="22"/>
          <w:lang w:val="en-US"/>
        </w:rPr>
        <w:t>Bone Turnover Markers</w:t>
      </w:r>
      <w:r w:rsidR="00B4650F" w:rsidRPr="005F2054">
        <w:rPr>
          <w:rStyle w:val="Strong"/>
          <w:rFonts w:ascii="Arial" w:eastAsiaTheme="majorEastAsia" w:hAnsi="Arial" w:cs="Arial"/>
          <w:b w:val="0"/>
          <w:bCs w:val="0"/>
          <w:sz w:val="22"/>
          <w:szCs w:val="22"/>
          <w:lang w:val="en-US"/>
        </w:rPr>
        <w:t xml:space="preserve"> (BTM</w:t>
      </w:r>
      <w:r w:rsidR="009C2D82" w:rsidRPr="005F2054">
        <w:rPr>
          <w:rStyle w:val="Strong"/>
          <w:rFonts w:ascii="Arial" w:eastAsiaTheme="majorEastAsia" w:hAnsi="Arial" w:cs="Arial"/>
          <w:b w:val="0"/>
          <w:bCs w:val="0"/>
          <w:sz w:val="22"/>
          <w:szCs w:val="22"/>
          <w:lang w:val="en-US"/>
        </w:rPr>
        <w:t>s</w:t>
      </w:r>
      <w:r w:rsidR="00B4650F" w:rsidRPr="005F2054">
        <w:rPr>
          <w:rStyle w:val="Strong"/>
          <w:rFonts w:ascii="Arial" w:eastAsiaTheme="majorEastAsia" w:hAnsi="Arial" w:cs="Arial"/>
          <w:b w:val="0"/>
          <w:bCs w:val="0"/>
          <w:sz w:val="22"/>
          <w:szCs w:val="22"/>
          <w:lang w:val="en-US"/>
        </w:rPr>
        <w:t>)</w:t>
      </w:r>
      <w:r w:rsidR="0057112D" w:rsidRPr="005F2054">
        <w:rPr>
          <w:rStyle w:val="Strong"/>
          <w:rFonts w:ascii="Arial" w:eastAsiaTheme="majorEastAsia" w:hAnsi="Arial" w:cs="Arial"/>
          <w:b w:val="0"/>
          <w:bCs w:val="0"/>
          <w:sz w:val="22"/>
          <w:szCs w:val="22"/>
          <w:lang w:val="en-US"/>
        </w:rPr>
        <w:t>:</w:t>
      </w:r>
      <w:r w:rsidR="0057112D" w:rsidRPr="005F2054">
        <w:rPr>
          <w:rFonts w:ascii="Arial" w:hAnsi="Arial" w:cs="Arial"/>
          <w:sz w:val="22"/>
          <w:szCs w:val="22"/>
          <w:lang w:val="en-US"/>
        </w:rPr>
        <w:t xml:space="preserve"> </w:t>
      </w:r>
      <w:r w:rsidR="009C2D82" w:rsidRPr="005F2054">
        <w:rPr>
          <w:rFonts w:ascii="Arial" w:hAnsi="Arial" w:cs="Arial"/>
          <w:sz w:val="22"/>
          <w:szCs w:val="22"/>
          <w:lang w:val="en-US"/>
        </w:rPr>
        <w:t xml:space="preserve">Although not diagnostic for osteoporosis, BTMs may serve as surrogate markers for bone remodeling activity and may aid in estimating fracture risk. In a study involving patients with chronic kidney disease </w:t>
      </w:r>
      <w:r w:rsidR="00056F20" w:rsidRPr="005F2054">
        <w:rPr>
          <w:rFonts w:ascii="Arial" w:hAnsi="Arial" w:cs="Arial"/>
          <w:sz w:val="22"/>
          <w:szCs w:val="22"/>
          <w:lang w:val="en-US"/>
        </w:rPr>
        <w:t xml:space="preserve">(CKD) </w:t>
      </w:r>
      <w:r w:rsidR="009C2D82" w:rsidRPr="005F2054">
        <w:rPr>
          <w:rFonts w:ascii="Arial" w:hAnsi="Arial" w:cs="Arial"/>
          <w:sz w:val="22"/>
          <w:szCs w:val="22"/>
          <w:lang w:val="en-US"/>
        </w:rPr>
        <w:t xml:space="preserve">in the pre-transplant setting, BTMs were inversely associated with BMD, although no significant association with fracture prevalence was </w:t>
      </w:r>
      <w:r w:rsidR="009C2D82" w:rsidRPr="008E5767">
        <w:rPr>
          <w:rFonts w:ascii="Arial" w:hAnsi="Arial" w:cs="Arial"/>
          <w:sz w:val="22"/>
          <w:szCs w:val="22"/>
          <w:lang w:val="en-US"/>
        </w:rPr>
        <w:t>observed</w:t>
      </w:r>
      <w:r w:rsidR="0057112D" w:rsidRPr="008E5767">
        <w:rPr>
          <w:rFonts w:ascii="Arial" w:hAnsi="Arial" w:cs="Arial"/>
          <w:sz w:val="22"/>
          <w:szCs w:val="22"/>
          <w:lang w:val="en-US"/>
        </w:rPr>
        <w:t xml:space="preserve"> </w:t>
      </w:r>
      <w:r w:rsidR="00122B29" w:rsidRPr="008E5767">
        <w:rPr>
          <w:rFonts w:ascii="Arial" w:hAnsi="Arial" w:cs="Arial"/>
          <w:sz w:val="22"/>
          <w:szCs w:val="22"/>
          <w:lang w:val="en-US"/>
        </w:rPr>
        <w:t>(70)</w:t>
      </w:r>
    </w:p>
    <w:p w14:paraId="7B04B27C" w14:textId="77777777" w:rsidR="008E5767" w:rsidRPr="008E5767" w:rsidRDefault="008E5767" w:rsidP="005F2054">
      <w:pPr>
        <w:pStyle w:val="NormalWeb"/>
        <w:spacing w:before="0" w:beforeAutospacing="0" w:after="0" w:afterAutospacing="0" w:line="276" w:lineRule="auto"/>
        <w:rPr>
          <w:rFonts w:ascii="Arial" w:hAnsi="Arial" w:cs="Arial"/>
          <w:sz w:val="22"/>
          <w:szCs w:val="22"/>
          <w:lang w:val="en-US"/>
        </w:rPr>
      </w:pPr>
    </w:p>
    <w:p w14:paraId="236065C9" w14:textId="57BECABB" w:rsidR="00E06439" w:rsidRDefault="00212D80" w:rsidP="005F2054">
      <w:pPr>
        <w:pStyle w:val="NormalWeb"/>
        <w:spacing w:before="0" w:beforeAutospacing="0" w:after="0" w:afterAutospacing="0" w:line="276" w:lineRule="auto"/>
        <w:rPr>
          <w:rFonts w:ascii="Arial" w:hAnsi="Arial" w:cs="Arial"/>
          <w:sz w:val="22"/>
          <w:szCs w:val="22"/>
          <w:lang w:val="en-US"/>
        </w:rPr>
      </w:pPr>
      <w:r w:rsidRPr="008E5767">
        <w:rPr>
          <w:rStyle w:val="Strong"/>
          <w:rFonts w:ascii="Arial" w:eastAsiaTheme="majorEastAsia" w:hAnsi="Arial" w:cs="Arial"/>
          <w:b w:val="0"/>
          <w:bCs w:val="0"/>
          <w:sz w:val="22"/>
          <w:szCs w:val="22"/>
          <w:lang w:val="en-US"/>
        </w:rPr>
        <w:t>-</w:t>
      </w:r>
      <w:r w:rsidR="00E06439" w:rsidRPr="008E5767">
        <w:rPr>
          <w:rStyle w:val="Strong"/>
          <w:rFonts w:ascii="Arial" w:eastAsiaTheme="majorEastAsia" w:hAnsi="Arial" w:cs="Arial"/>
          <w:b w:val="0"/>
          <w:bCs w:val="0"/>
          <w:sz w:val="22"/>
          <w:szCs w:val="22"/>
          <w:lang w:val="en-US"/>
        </w:rPr>
        <w:t>Lumbar Spine Radiography:</w:t>
      </w:r>
      <w:r w:rsidR="00E06439" w:rsidRPr="008E5767">
        <w:rPr>
          <w:rFonts w:ascii="Arial" w:hAnsi="Arial" w:cs="Arial"/>
          <w:sz w:val="22"/>
          <w:szCs w:val="22"/>
          <w:lang w:val="en-US"/>
        </w:rPr>
        <w:t xml:space="preserve"> </w:t>
      </w:r>
      <w:r w:rsidR="009C2D82" w:rsidRPr="008E5767">
        <w:rPr>
          <w:rFonts w:ascii="Arial" w:hAnsi="Arial" w:cs="Arial"/>
          <w:sz w:val="22"/>
          <w:szCs w:val="22"/>
          <w:lang w:val="en-US"/>
        </w:rPr>
        <w:t xml:space="preserve">This modality is useful for detecting vertebral fractures, many of which are asymptomatic </w:t>
      </w:r>
      <w:r w:rsidR="000B1635" w:rsidRPr="008E5767">
        <w:rPr>
          <w:rFonts w:ascii="Arial" w:hAnsi="Arial" w:cs="Arial"/>
          <w:sz w:val="22"/>
          <w:szCs w:val="22"/>
          <w:lang w:val="en-US"/>
        </w:rPr>
        <w:t>(71)</w:t>
      </w:r>
      <w:r w:rsidR="00E06439" w:rsidRPr="008E5767">
        <w:rPr>
          <w:rFonts w:ascii="Arial" w:hAnsi="Arial" w:cs="Arial"/>
          <w:sz w:val="22"/>
          <w:szCs w:val="22"/>
          <w:lang w:val="en-US"/>
        </w:rPr>
        <w:t xml:space="preserve">. </w:t>
      </w:r>
      <w:r w:rsidR="009C2D82" w:rsidRPr="008E5767">
        <w:rPr>
          <w:rFonts w:ascii="Arial" w:hAnsi="Arial" w:cs="Arial"/>
          <w:sz w:val="22"/>
          <w:szCs w:val="22"/>
          <w:lang w:val="en-US"/>
        </w:rPr>
        <w:t>Radiographic screening is recommended for all solid organ transplant candidates and is particularly advised in lung transplant recipients, given a reported vertebral fracture prevalence of approximately 25%, often without correlation to BMD measurements</w:t>
      </w:r>
      <w:r w:rsidR="000B1635" w:rsidRPr="008E5767">
        <w:rPr>
          <w:rFonts w:ascii="Arial" w:hAnsi="Arial" w:cs="Arial"/>
          <w:sz w:val="22"/>
          <w:szCs w:val="22"/>
          <w:lang w:val="en-US"/>
        </w:rPr>
        <w:t xml:space="preserve"> (72)</w:t>
      </w:r>
      <w:r w:rsidR="00E06439" w:rsidRPr="008E5767">
        <w:rPr>
          <w:rFonts w:ascii="Arial" w:hAnsi="Arial" w:cs="Arial"/>
          <w:sz w:val="22"/>
          <w:szCs w:val="22"/>
          <w:lang w:val="en-US"/>
        </w:rPr>
        <w:t>.</w:t>
      </w:r>
    </w:p>
    <w:p w14:paraId="009F393F" w14:textId="77777777" w:rsidR="008E5767" w:rsidRPr="008E5767" w:rsidRDefault="008E5767" w:rsidP="005F2054">
      <w:pPr>
        <w:pStyle w:val="NormalWeb"/>
        <w:spacing w:before="0" w:beforeAutospacing="0" w:after="0" w:afterAutospacing="0" w:line="276" w:lineRule="auto"/>
        <w:rPr>
          <w:rFonts w:ascii="Arial" w:hAnsi="Arial" w:cs="Arial"/>
          <w:sz w:val="22"/>
          <w:szCs w:val="22"/>
          <w:lang w:val="en-US"/>
        </w:rPr>
      </w:pPr>
    </w:p>
    <w:p w14:paraId="5D149266" w14:textId="4F7B93D6" w:rsidR="0057112D" w:rsidRDefault="00212D80" w:rsidP="005F2054">
      <w:pPr>
        <w:pStyle w:val="NormalWeb"/>
        <w:spacing w:before="0" w:beforeAutospacing="0" w:after="0" w:afterAutospacing="0" w:line="276" w:lineRule="auto"/>
        <w:rPr>
          <w:rFonts w:ascii="Arial" w:hAnsi="Arial" w:cs="Arial"/>
          <w:sz w:val="22"/>
          <w:szCs w:val="22"/>
          <w:lang w:val="en-US"/>
        </w:rPr>
      </w:pPr>
      <w:r w:rsidRPr="008E5767">
        <w:rPr>
          <w:rFonts w:ascii="Arial" w:eastAsiaTheme="majorEastAsia" w:hAnsi="Arial" w:cs="Arial"/>
          <w:sz w:val="22"/>
          <w:szCs w:val="22"/>
          <w:lang w:val="en-US"/>
        </w:rPr>
        <w:t>-</w:t>
      </w:r>
      <w:r w:rsidR="0057112D" w:rsidRPr="008E5767">
        <w:rPr>
          <w:rFonts w:ascii="Arial" w:eastAsiaTheme="majorEastAsia" w:hAnsi="Arial" w:cs="Arial"/>
          <w:sz w:val="22"/>
          <w:szCs w:val="22"/>
          <w:lang w:val="en-US"/>
        </w:rPr>
        <w:t>Dual-energy X-ray absorptiometry</w:t>
      </w:r>
      <w:r w:rsidR="00E06439" w:rsidRPr="008E5767">
        <w:rPr>
          <w:rFonts w:ascii="Arial" w:eastAsiaTheme="majorEastAsia" w:hAnsi="Arial" w:cs="Arial"/>
          <w:sz w:val="22"/>
          <w:szCs w:val="22"/>
          <w:lang w:val="en-US"/>
        </w:rPr>
        <w:t xml:space="preserve"> </w:t>
      </w:r>
      <w:r w:rsidR="00E06439" w:rsidRPr="005F2054">
        <w:rPr>
          <w:rFonts w:ascii="Arial" w:eastAsiaTheme="majorEastAsia" w:hAnsi="Arial" w:cs="Arial"/>
          <w:sz w:val="22"/>
          <w:szCs w:val="22"/>
          <w:lang w:val="en-US"/>
        </w:rPr>
        <w:t>(DXA)</w:t>
      </w:r>
      <w:r w:rsidR="0057112D" w:rsidRPr="005F2054">
        <w:rPr>
          <w:rStyle w:val="Strong"/>
          <w:rFonts w:ascii="Arial" w:eastAsiaTheme="majorEastAsia" w:hAnsi="Arial" w:cs="Arial"/>
          <w:b w:val="0"/>
          <w:bCs w:val="0"/>
          <w:sz w:val="22"/>
          <w:szCs w:val="22"/>
          <w:lang w:val="en-US"/>
        </w:rPr>
        <w:t>:</w:t>
      </w:r>
      <w:r w:rsidR="0057112D" w:rsidRPr="005F2054">
        <w:rPr>
          <w:rFonts w:ascii="Arial" w:hAnsi="Arial" w:cs="Arial"/>
          <w:sz w:val="22"/>
          <w:szCs w:val="22"/>
          <w:lang w:val="en-US"/>
        </w:rPr>
        <w:t xml:space="preserve"> </w:t>
      </w:r>
      <w:r w:rsidR="00056F20" w:rsidRPr="005F2054">
        <w:rPr>
          <w:rFonts w:ascii="Arial" w:hAnsi="Arial" w:cs="Arial"/>
          <w:sz w:val="22"/>
          <w:szCs w:val="22"/>
          <w:lang w:val="en-US"/>
        </w:rPr>
        <w:t xml:space="preserve">DXA scanning is recommended for all solid organ transplant candidates. In patients with CKD stages 3–5, DXA has demonstrated predictive value for fracture risk </w:t>
      </w:r>
      <w:r w:rsidR="000B1635" w:rsidRPr="005F2054">
        <w:rPr>
          <w:rFonts w:ascii="Arial" w:hAnsi="Arial" w:cs="Arial"/>
          <w:sz w:val="22"/>
          <w:szCs w:val="22"/>
          <w:lang w:val="en-US"/>
        </w:rPr>
        <w:t>(73)</w:t>
      </w:r>
      <w:r w:rsidR="0057112D" w:rsidRPr="005F2054">
        <w:rPr>
          <w:rFonts w:ascii="Arial" w:hAnsi="Arial" w:cs="Arial"/>
          <w:sz w:val="22"/>
          <w:szCs w:val="22"/>
          <w:lang w:val="en-US"/>
        </w:rPr>
        <w:t xml:space="preserve">. </w:t>
      </w:r>
      <w:r w:rsidR="00056F20" w:rsidRPr="005F2054">
        <w:rPr>
          <w:rFonts w:ascii="Arial" w:hAnsi="Arial" w:cs="Arial"/>
          <w:sz w:val="22"/>
          <w:szCs w:val="22"/>
          <w:lang w:val="en-US"/>
        </w:rPr>
        <w:t>However, its accuracy may be compromised by spinal deformities, degenerative changes, and vascular (e.g., abdominal aorta) or articular calcifications, which can lead to BMD overestimation</w:t>
      </w:r>
      <w:r w:rsidR="00E06439" w:rsidRPr="005F2054">
        <w:rPr>
          <w:rFonts w:ascii="Arial" w:hAnsi="Arial" w:cs="Arial"/>
          <w:sz w:val="22"/>
          <w:szCs w:val="22"/>
          <w:lang w:val="en-US"/>
        </w:rPr>
        <w:t>.</w:t>
      </w:r>
    </w:p>
    <w:p w14:paraId="4CE712D6" w14:textId="77777777" w:rsidR="008E5767" w:rsidRPr="005F2054" w:rsidRDefault="008E5767" w:rsidP="005F2054">
      <w:pPr>
        <w:pStyle w:val="NormalWeb"/>
        <w:spacing w:before="0" w:beforeAutospacing="0" w:after="0" w:afterAutospacing="0" w:line="276" w:lineRule="auto"/>
        <w:rPr>
          <w:rFonts w:ascii="Arial" w:hAnsi="Arial" w:cs="Arial"/>
          <w:sz w:val="22"/>
          <w:szCs w:val="22"/>
          <w:lang w:val="en-US"/>
        </w:rPr>
      </w:pPr>
    </w:p>
    <w:p w14:paraId="54921CCB" w14:textId="766A0B8E" w:rsidR="0057112D" w:rsidRDefault="00212D80" w:rsidP="005F2054">
      <w:pPr>
        <w:pStyle w:val="NormalWeb"/>
        <w:spacing w:before="0" w:beforeAutospacing="0" w:after="0" w:afterAutospacing="0" w:line="276" w:lineRule="auto"/>
        <w:rPr>
          <w:rFonts w:ascii="Arial" w:hAnsi="Arial" w:cs="Arial"/>
          <w:sz w:val="22"/>
          <w:szCs w:val="22"/>
          <w:lang w:val="en-US"/>
        </w:rPr>
      </w:pPr>
      <w:r w:rsidRPr="005F2054">
        <w:rPr>
          <w:rStyle w:val="Strong"/>
          <w:rFonts w:ascii="Arial" w:eastAsiaTheme="majorEastAsia" w:hAnsi="Arial" w:cs="Arial"/>
          <w:b w:val="0"/>
          <w:bCs w:val="0"/>
          <w:sz w:val="22"/>
          <w:szCs w:val="22"/>
          <w:lang w:val="en-US"/>
        </w:rPr>
        <w:t>-</w:t>
      </w:r>
      <w:r w:rsidR="00056F20" w:rsidRPr="005F2054">
        <w:rPr>
          <w:rStyle w:val="Strong"/>
          <w:rFonts w:ascii="Arial" w:eastAsiaTheme="majorEastAsia" w:hAnsi="Arial" w:cs="Arial"/>
          <w:b w:val="0"/>
          <w:bCs w:val="0"/>
          <w:sz w:val="22"/>
          <w:szCs w:val="22"/>
          <w:lang w:val="en-US"/>
        </w:rPr>
        <w:t>Fracture Risk Assessment Tool (FRAX)</w:t>
      </w:r>
      <w:r w:rsidR="0057112D" w:rsidRPr="005F2054">
        <w:rPr>
          <w:rStyle w:val="Strong"/>
          <w:rFonts w:ascii="Arial" w:eastAsiaTheme="majorEastAsia" w:hAnsi="Arial" w:cs="Arial"/>
          <w:b w:val="0"/>
          <w:bCs w:val="0"/>
          <w:sz w:val="22"/>
          <w:szCs w:val="22"/>
          <w:lang w:val="en-US"/>
        </w:rPr>
        <w:t>:</w:t>
      </w:r>
      <w:r w:rsidR="0057112D" w:rsidRPr="005F2054">
        <w:rPr>
          <w:rFonts w:ascii="Arial" w:hAnsi="Arial" w:cs="Arial"/>
          <w:sz w:val="22"/>
          <w:szCs w:val="22"/>
          <w:lang w:val="en-US"/>
        </w:rPr>
        <w:t xml:space="preserve"> </w:t>
      </w:r>
      <w:r w:rsidR="00056F20" w:rsidRPr="005F2054">
        <w:rPr>
          <w:rFonts w:ascii="Arial" w:hAnsi="Arial" w:cs="Arial"/>
          <w:sz w:val="22"/>
          <w:szCs w:val="22"/>
          <w:lang w:val="en-US"/>
        </w:rPr>
        <w:t xml:space="preserve">The FRAX algorithm estimates the 10-year probability of hip and other major osteoporotic fractures using clinical risk factors, with or without BMD </w:t>
      </w:r>
      <w:r w:rsidR="00056F20" w:rsidRPr="008E5767">
        <w:rPr>
          <w:rFonts w:ascii="Arial" w:hAnsi="Arial" w:cs="Arial"/>
          <w:sz w:val="22"/>
          <w:szCs w:val="22"/>
          <w:lang w:val="en-US"/>
        </w:rPr>
        <w:t>input</w:t>
      </w:r>
      <w:r w:rsidR="0057112D" w:rsidRPr="008E5767">
        <w:rPr>
          <w:rFonts w:ascii="Arial" w:hAnsi="Arial" w:cs="Arial"/>
          <w:sz w:val="22"/>
          <w:szCs w:val="22"/>
          <w:lang w:val="en-US"/>
        </w:rPr>
        <w:t xml:space="preserve"> </w:t>
      </w:r>
      <w:r w:rsidR="000B1635" w:rsidRPr="008E5767">
        <w:rPr>
          <w:rFonts w:ascii="Arial" w:hAnsi="Arial" w:cs="Arial"/>
          <w:sz w:val="22"/>
          <w:szCs w:val="22"/>
          <w:lang w:val="en-US"/>
        </w:rPr>
        <w:t>(74)</w:t>
      </w:r>
      <w:r w:rsidR="0057112D" w:rsidRPr="008E5767">
        <w:rPr>
          <w:rFonts w:ascii="Arial" w:hAnsi="Arial" w:cs="Arial"/>
          <w:sz w:val="22"/>
          <w:szCs w:val="22"/>
          <w:lang w:val="en-US"/>
        </w:rPr>
        <w:t>.</w:t>
      </w:r>
      <w:r w:rsidR="000B1635" w:rsidRPr="008E5767">
        <w:rPr>
          <w:rFonts w:ascii="Arial" w:hAnsi="Arial" w:cs="Arial"/>
          <w:sz w:val="22"/>
          <w:szCs w:val="22"/>
          <w:lang w:val="en-US"/>
        </w:rPr>
        <w:t xml:space="preserve"> </w:t>
      </w:r>
      <w:r w:rsidR="00056F20" w:rsidRPr="008E5767">
        <w:rPr>
          <w:rFonts w:ascii="Arial" w:hAnsi="Arial" w:cs="Arial"/>
          <w:sz w:val="22"/>
          <w:szCs w:val="22"/>
          <w:lang w:val="en-US"/>
        </w:rPr>
        <w:t>Although CKD is not included in the FRAX model, its use is still recommended for renal transplant candidates, as predictive utility has been demonstrated in non-dialysis populations</w:t>
      </w:r>
      <w:r w:rsidR="0057112D" w:rsidRPr="008E5767">
        <w:rPr>
          <w:rFonts w:ascii="Arial" w:hAnsi="Arial" w:cs="Arial"/>
          <w:sz w:val="22"/>
          <w:szCs w:val="22"/>
          <w:lang w:val="en-US"/>
        </w:rPr>
        <w:t xml:space="preserve"> </w:t>
      </w:r>
      <w:r w:rsidR="000B1635" w:rsidRPr="008E5767">
        <w:rPr>
          <w:rFonts w:ascii="Arial" w:hAnsi="Arial" w:cs="Arial"/>
          <w:sz w:val="22"/>
          <w:szCs w:val="22"/>
          <w:lang w:val="en-US"/>
        </w:rPr>
        <w:t>(75)</w:t>
      </w:r>
      <w:r w:rsidR="0057112D" w:rsidRPr="008E5767">
        <w:rPr>
          <w:rFonts w:ascii="Arial" w:hAnsi="Arial" w:cs="Arial"/>
          <w:sz w:val="22"/>
          <w:szCs w:val="22"/>
          <w:lang w:val="en-US"/>
        </w:rPr>
        <w:t>.</w:t>
      </w:r>
    </w:p>
    <w:p w14:paraId="0EAB942E" w14:textId="77777777" w:rsidR="008E5767" w:rsidRPr="008E5767" w:rsidRDefault="008E5767" w:rsidP="005F2054">
      <w:pPr>
        <w:pStyle w:val="NormalWeb"/>
        <w:spacing w:before="0" w:beforeAutospacing="0" w:after="0" w:afterAutospacing="0" w:line="276" w:lineRule="auto"/>
        <w:rPr>
          <w:rFonts w:ascii="Arial" w:hAnsi="Arial" w:cs="Arial"/>
          <w:sz w:val="22"/>
          <w:szCs w:val="22"/>
          <w:lang w:val="en-US"/>
        </w:rPr>
      </w:pPr>
    </w:p>
    <w:p w14:paraId="110FC710" w14:textId="5A4744DF" w:rsidR="0057112D" w:rsidRDefault="00FF20B5" w:rsidP="005F2054">
      <w:pPr>
        <w:pStyle w:val="NormalWeb"/>
        <w:spacing w:before="0" w:beforeAutospacing="0" w:after="0" w:afterAutospacing="0" w:line="276" w:lineRule="auto"/>
        <w:rPr>
          <w:rFonts w:ascii="Arial" w:hAnsi="Arial" w:cs="Arial"/>
          <w:spacing w:val="-2"/>
          <w:sz w:val="22"/>
          <w:szCs w:val="22"/>
          <w:lang w:val="en-US"/>
        </w:rPr>
      </w:pPr>
      <w:r w:rsidRPr="008E5767">
        <w:rPr>
          <w:rStyle w:val="Strong"/>
          <w:rFonts w:ascii="Arial" w:eastAsiaTheme="majorEastAsia" w:hAnsi="Arial" w:cs="Arial"/>
          <w:b w:val="0"/>
          <w:bCs w:val="0"/>
          <w:spacing w:val="-2"/>
          <w:sz w:val="22"/>
          <w:szCs w:val="22"/>
          <w:lang w:val="en-US"/>
        </w:rPr>
        <w:t>-</w:t>
      </w:r>
      <w:r w:rsidR="0057112D" w:rsidRPr="008E5767">
        <w:rPr>
          <w:rStyle w:val="Strong"/>
          <w:rFonts w:ascii="Arial" w:eastAsiaTheme="majorEastAsia" w:hAnsi="Arial" w:cs="Arial"/>
          <w:b w:val="0"/>
          <w:bCs w:val="0"/>
          <w:spacing w:val="-2"/>
          <w:sz w:val="22"/>
          <w:szCs w:val="22"/>
          <w:lang w:val="en-US"/>
        </w:rPr>
        <w:t>Trabecular Bone Score (TBS):</w:t>
      </w:r>
      <w:r w:rsidR="0057112D" w:rsidRPr="008E5767">
        <w:rPr>
          <w:rFonts w:ascii="Arial" w:hAnsi="Arial" w:cs="Arial"/>
          <w:spacing w:val="-2"/>
          <w:sz w:val="22"/>
          <w:szCs w:val="22"/>
          <w:lang w:val="en-US"/>
        </w:rPr>
        <w:t xml:space="preserve"> </w:t>
      </w:r>
      <w:r w:rsidR="00056F20" w:rsidRPr="008E5767">
        <w:rPr>
          <w:rFonts w:ascii="Arial" w:hAnsi="Arial" w:cs="Arial"/>
          <w:spacing w:val="-2"/>
          <w:sz w:val="22"/>
          <w:szCs w:val="22"/>
          <w:lang w:val="en-US"/>
        </w:rPr>
        <w:t xml:space="preserve">Derived from DXA images of the lumbar spine, TBS evaluates bone microarchitecture through texture analysis </w:t>
      </w:r>
      <w:r w:rsidR="000B1635" w:rsidRPr="008E5767">
        <w:rPr>
          <w:rFonts w:ascii="Arial" w:hAnsi="Arial" w:cs="Arial"/>
          <w:spacing w:val="-2"/>
          <w:sz w:val="22"/>
          <w:szCs w:val="22"/>
          <w:lang w:val="en-US"/>
        </w:rPr>
        <w:t>(76)</w:t>
      </w:r>
      <w:r w:rsidR="0057112D" w:rsidRPr="008E5767">
        <w:rPr>
          <w:rFonts w:ascii="Arial" w:hAnsi="Arial" w:cs="Arial"/>
          <w:spacing w:val="-2"/>
          <w:sz w:val="22"/>
          <w:szCs w:val="22"/>
          <w:lang w:val="en-US"/>
        </w:rPr>
        <w:t xml:space="preserve">. </w:t>
      </w:r>
      <w:r w:rsidR="00AF407B" w:rsidRPr="008E5767">
        <w:rPr>
          <w:rFonts w:ascii="Arial" w:hAnsi="Arial" w:cs="Arial"/>
          <w:spacing w:val="-2"/>
          <w:sz w:val="22"/>
          <w:szCs w:val="22"/>
          <w:lang w:val="en-US"/>
        </w:rPr>
        <w:t>Its value as an independent predictor of fragility fractures has been confirmed in patients with CKD</w:t>
      </w:r>
      <w:r w:rsidR="000B1635" w:rsidRPr="008E5767">
        <w:rPr>
          <w:rFonts w:ascii="Arial" w:hAnsi="Arial" w:cs="Arial"/>
          <w:spacing w:val="-2"/>
          <w:sz w:val="22"/>
          <w:szCs w:val="22"/>
          <w:lang w:val="en-US"/>
        </w:rPr>
        <w:t xml:space="preserve"> (77).</w:t>
      </w:r>
    </w:p>
    <w:p w14:paraId="5829EED3" w14:textId="77777777" w:rsidR="00017C62" w:rsidRPr="008E5767" w:rsidRDefault="00017C62" w:rsidP="005F2054">
      <w:pPr>
        <w:pStyle w:val="NormalWeb"/>
        <w:spacing w:before="0" w:beforeAutospacing="0" w:after="0" w:afterAutospacing="0" w:line="276" w:lineRule="auto"/>
        <w:rPr>
          <w:rFonts w:ascii="Arial" w:hAnsi="Arial" w:cs="Arial"/>
          <w:spacing w:val="-2"/>
          <w:sz w:val="22"/>
          <w:szCs w:val="22"/>
          <w:lang w:val="en-US"/>
        </w:rPr>
      </w:pPr>
    </w:p>
    <w:p w14:paraId="3B71E622" w14:textId="1DB0E654" w:rsidR="008A6720" w:rsidRPr="005F2054" w:rsidRDefault="00FF20B5" w:rsidP="005F2054">
      <w:pPr>
        <w:pStyle w:val="NormalWeb"/>
        <w:spacing w:before="0" w:beforeAutospacing="0" w:after="0" w:afterAutospacing="0" w:line="276" w:lineRule="auto"/>
        <w:rPr>
          <w:rFonts w:ascii="Arial" w:hAnsi="Arial" w:cs="Arial"/>
          <w:sz w:val="22"/>
          <w:szCs w:val="22"/>
          <w:lang w:val="en-US"/>
        </w:rPr>
      </w:pPr>
      <w:r w:rsidRPr="008E5767">
        <w:rPr>
          <w:rFonts w:ascii="Arial" w:hAnsi="Arial" w:cs="Arial"/>
          <w:sz w:val="22"/>
          <w:szCs w:val="22"/>
          <w:lang w:val="en-US"/>
        </w:rPr>
        <w:t>-</w:t>
      </w:r>
      <w:r w:rsidR="00AF5165" w:rsidRPr="008E5767">
        <w:rPr>
          <w:rFonts w:ascii="Arial" w:hAnsi="Arial" w:cs="Arial"/>
          <w:sz w:val="22"/>
          <w:szCs w:val="22"/>
          <w:lang w:val="en-US"/>
        </w:rPr>
        <w:t xml:space="preserve">Bone biopsy: </w:t>
      </w:r>
      <w:r w:rsidR="00AF407B" w:rsidRPr="008E5767">
        <w:rPr>
          <w:rFonts w:ascii="Arial" w:hAnsi="Arial" w:cs="Arial"/>
          <w:sz w:val="22"/>
          <w:szCs w:val="22"/>
          <w:lang w:val="en-US"/>
        </w:rPr>
        <w:t xml:space="preserve">In patients with CKD stages 3a–5D, bone biopsy should </w:t>
      </w:r>
      <w:r w:rsidR="00AF407B" w:rsidRPr="005F2054">
        <w:rPr>
          <w:rFonts w:ascii="Arial" w:hAnsi="Arial" w:cs="Arial"/>
          <w:sz w:val="22"/>
          <w:szCs w:val="22"/>
          <w:lang w:val="en-US"/>
        </w:rPr>
        <w:t>be considered when there are unexplained fractures, persistent bone pain, hypercalcemia, hypophosphatemia, or suspicion of aluminum toxicity</w:t>
      </w:r>
      <w:r w:rsidR="008A6720" w:rsidRPr="005F2054">
        <w:rPr>
          <w:rFonts w:ascii="Arial" w:hAnsi="Arial" w:cs="Arial"/>
          <w:sz w:val="22"/>
          <w:szCs w:val="22"/>
          <w:lang w:val="en-US"/>
        </w:rPr>
        <w:t>.</w:t>
      </w:r>
    </w:p>
    <w:p w14:paraId="0CA1BD17" w14:textId="77777777" w:rsidR="00963230" w:rsidRPr="005F2054" w:rsidRDefault="00963230" w:rsidP="005F2054">
      <w:pPr>
        <w:pStyle w:val="NormalWeb"/>
        <w:spacing w:before="0" w:beforeAutospacing="0" w:after="0" w:afterAutospacing="0" w:line="276" w:lineRule="auto"/>
        <w:rPr>
          <w:rFonts w:ascii="Arial" w:hAnsi="Arial" w:cs="Arial"/>
          <w:sz w:val="22"/>
          <w:szCs w:val="22"/>
          <w:lang w:val="en-GB"/>
        </w:rPr>
      </w:pPr>
    </w:p>
    <w:tbl>
      <w:tblPr>
        <w:tblStyle w:val="TableGrid"/>
        <w:tblW w:w="0" w:type="auto"/>
        <w:tblLook w:val="04A0" w:firstRow="1" w:lastRow="0" w:firstColumn="1" w:lastColumn="0" w:noHBand="0" w:noVBand="1"/>
      </w:tblPr>
      <w:tblGrid>
        <w:gridCol w:w="8494"/>
      </w:tblGrid>
      <w:tr w:rsidR="00963230" w:rsidRPr="005F2054" w14:paraId="5F814DC9" w14:textId="77777777" w:rsidTr="00017C62">
        <w:tc>
          <w:tcPr>
            <w:tcW w:w="8494" w:type="dxa"/>
            <w:shd w:val="clear" w:color="auto" w:fill="FFFF00"/>
          </w:tcPr>
          <w:p w14:paraId="46F92806" w14:textId="42C74362" w:rsidR="00963230" w:rsidRPr="005F2054" w:rsidRDefault="00963230" w:rsidP="00017C62">
            <w:pPr>
              <w:spacing w:line="276" w:lineRule="auto"/>
              <w:rPr>
                <w:rFonts w:ascii="Arial" w:hAnsi="Arial" w:cs="Arial"/>
                <w:b/>
                <w:bCs/>
                <w:sz w:val="22"/>
                <w:szCs w:val="22"/>
                <w:lang w:val="en-US"/>
              </w:rPr>
            </w:pPr>
            <w:r w:rsidRPr="005F2054">
              <w:rPr>
                <w:rFonts w:ascii="Arial" w:hAnsi="Arial" w:cs="Arial"/>
                <w:b/>
                <w:bCs/>
                <w:sz w:val="22"/>
                <w:szCs w:val="22"/>
                <w:lang w:val="en-US"/>
              </w:rPr>
              <w:t xml:space="preserve">Table 5. Clinical </w:t>
            </w:r>
            <w:r w:rsidR="00017C62">
              <w:rPr>
                <w:rFonts w:ascii="Arial" w:hAnsi="Arial" w:cs="Arial"/>
                <w:b/>
                <w:bCs/>
                <w:sz w:val="22"/>
                <w:szCs w:val="22"/>
                <w:lang w:val="en-US"/>
              </w:rPr>
              <w:t>E</w:t>
            </w:r>
            <w:r w:rsidRPr="005F2054">
              <w:rPr>
                <w:rFonts w:ascii="Arial" w:hAnsi="Arial" w:cs="Arial"/>
                <w:b/>
                <w:bCs/>
                <w:sz w:val="22"/>
                <w:szCs w:val="22"/>
                <w:lang w:val="en-US"/>
              </w:rPr>
              <w:t xml:space="preserve">valuation in </w:t>
            </w:r>
            <w:r w:rsidR="00017C62">
              <w:rPr>
                <w:rFonts w:ascii="Arial" w:hAnsi="Arial" w:cs="Arial"/>
                <w:b/>
                <w:bCs/>
                <w:sz w:val="22"/>
                <w:szCs w:val="22"/>
                <w:lang w:val="en-US"/>
              </w:rPr>
              <w:t>P</w:t>
            </w:r>
            <w:r w:rsidRPr="005F2054">
              <w:rPr>
                <w:rFonts w:ascii="Arial" w:hAnsi="Arial" w:cs="Arial"/>
                <w:b/>
                <w:bCs/>
                <w:sz w:val="22"/>
                <w:szCs w:val="22"/>
                <w:lang w:val="en-US"/>
              </w:rPr>
              <w:t xml:space="preserve">atients with </w:t>
            </w:r>
            <w:r w:rsidR="00017C62">
              <w:rPr>
                <w:rFonts w:ascii="Arial" w:hAnsi="Arial" w:cs="Arial"/>
                <w:b/>
                <w:bCs/>
                <w:sz w:val="22"/>
                <w:szCs w:val="22"/>
                <w:lang w:val="en-US"/>
              </w:rPr>
              <w:t>S</w:t>
            </w:r>
            <w:r w:rsidRPr="005F2054">
              <w:rPr>
                <w:rFonts w:ascii="Arial" w:hAnsi="Arial" w:cs="Arial"/>
                <w:b/>
                <w:bCs/>
                <w:sz w:val="22"/>
                <w:szCs w:val="22"/>
                <w:lang w:val="en-US"/>
              </w:rPr>
              <w:t xml:space="preserve">olid </w:t>
            </w:r>
            <w:r w:rsidR="00017C62">
              <w:rPr>
                <w:rFonts w:ascii="Arial" w:hAnsi="Arial" w:cs="Arial"/>
                <w:b/>
                <w:bCs/>
                <w:sz w:val="22"/>
                <w:szCs w:val="22"/>
                <w:lang w:val="en-US"/>
              </w:rPr>
              <w:t>O</w:t>
            </w:r>
            <w:r w:rsidRPr="005F2054">
              <w:rPr>
                <w:rFonts w:ascii="Arial" w:hAnsi="Arial" w:cs="Arial"/>
                <w:b/>
                <w:bCs/>
                <w:sz w:val="22"/>
                <w:szCs w:val="22"/>
                <w:lang w:val="en-US"/>
              </w:rPr>
              <w:t xml:space="preserve">rgan </w:t>
            </w:r>
            <w:r w:rsidR="00017C62">
              <w:rPr>
                <w:rFonts w:ascii="Arial" w:hAnsi="Arial" w:cs="Arial"/>
                <w:b/>
                <w:bCs/>
                <w:sz w:val="22"/>
                <w:szCs w:val="22"/>
                <w:lang w:val="en-US"/>
              </w:rPr>
              <w:t>T</w:t>
            </w:r>
            <w:r w:rsidRPr="005F2054">
              <w:rPr>
                <w:rFonts w:ascii="Arial" w:hAnsi="Arial" w:cs="Arial"/>
                <w:b/>
                <w:bCs/>
                <w:sz w:val="22"/>
                <w:szCs w:val="22"/>
                <w:lang w:val="en-US"/>
              </w:rPr>
              <w:t>ransplantation</w:t>
            </w:r>
          </w:p>
        </w:tc>
      </w:tr>
      <w:tr w:rsidR="00963230" w:rsidRPr="005F2054" w14:paraId="620C655F" w14:textId="77777777" w:rsidTr="00DD5BC3">
        <w:tc>
          <w:tcPr>
            <w:tcW w:w="8494" w:type="dxa"/>
          </w:tcPr>
          <w:p w14:paraId="7E920F87" w14:textId="77777777" w:rsidR="00963230" w:rsidRPr="005F2054" w:rsidRDefault="00963230" w:rsidP="005F2054">
            <w:pPr>
              <w:spacing w:line="276" w:lineRule="auto"/>
              <w:rPr>
                <w:rFonts w:ascii="Arial" w:hAnsi="Arial" w:cs="Arial"/>
                <w:b/>
                <w:bCs/>
                <w:sz w:val="22"/>
                <w:szCs w:val="22"/>
                <w:lang w:val="en-US"/>
              </w:rPr>
            </w:pPr>
            <w:r w:rsidRPr="005F2054">
              <w:rPr>
                <w:rFonts w:ascii="Arial" w:hAnsi="Arial" w:cs="Arial"/>
                <w:b/>
                <w:bCs/>
                <w:sz w:val="22"/>
                <w:szCs w:val="22"/>
                <w:lang w:val="en-US"/>
              </w:rPr>
              <w:t xml:space="preserve">History </w:t>
            </w:r>
          </w:p>
          <w:p w14:paraId="446AA361"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-Age</w:t>
            </w:r>
          </w:p>
          <w:p w14:paraId="4A0AAB76"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-History of previous fractures</w:t>
            </w:r>
          </w:p>
          <w:p w14:paraId="1660A4F0"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-Gonadal status</w:t>
            </w:r>
          </w:p>
          <w:p w14:paraId="14A44137"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-Dietary intake calcium/vitamin D</w:t>
            </w:r>
          </w:p>
          <w:p w14:paraId="7C668D07"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-Alcohol abuse</w:t>
            </w:r>
          </w:p>
          <w:p w14:paraId="053D52A3"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-Smoking</w:t>
            </w:r>
          </w:p>
          <w:p w14:paraId="1C97EBE4"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-Physical Activity: sedentarism, exercise, mobility</w:t>
            </w:r>
          </w:p>
          <w:p w14:paraId="0B4157E8"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-Chronic disease: Diabetes, renal osteodystrophy, end-stage pulmonary</w:t>
            </w:r>
          </w:p>
          <w:p w14:paraId="64D61D18" w14:textId="656985E2"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 xml:space="preserve">  </w:t>
            </w:r>
            <w:r w:rsidR="00AF407B" w:rsidRPr="008A433E">
              <w:rPr>
                <w:rFonts w:ascii="Arial" w:hAnsi="Arial" w:cs="Arial"/>
                <w:sz w:val="22"/>
                <w:szCs w:val="22"/>
                <w:lang w:val="en-US"/>
              </w:rPr>
              <w:t>disease</w:t>
            </w:r>
            <w:r w:rsidRPr="008A433E">
              <w:rPr>
                <w:rFonts w:ascii="Arial" w:hAnsi="Arial" w:cs="Arial"/>
                <w:sz w:val="22"/>
                <w:szCs w:val="22"/>
                <w:lang w:val="en-US"/>
              </w:rPr>
              <w:t>, hepatic diseases.</w:t>
            </w:r>
          </w:p>
          <w:p w14:paraId="4875961B" w14:textId="6E90E28C" w:rsidR="00963230" w:rsidRPr="005F2054" w:rsidRDefault="00963230" w:rsidP="005F2054">
            <w:pPr>
              <w:spacing w:line="276" w:lineRule="auto"/>
              <w:rPr>
                <w:rFonts w:ascii="Arial" w:hAnsi="Arial" w:cs="Arial"/>
                <w:b/>
                <w:bCs/>
                <w:sz w:val="22"/>
                <w:szCs w:val="22"/>
                <w:lang w:val="en-US"/>
              </w:rPr>
            </w:pPr>
            <w:r w:rsidRPr="008A433E">
              <w:rPr>
                <w:rFonts w:ascii="Arial" w:hAnsi="Arial" w:cs="Arial"/>
                <w:sz w:val="22"/>
                <w:szCs w:val="22"/>
                <w:lang w:val="en-US"/>
              </w:rPr>
              <w:t>-Medications</w:t>
            </w:r>
          </w:p>
        </w:tc>
      </w:tr>
      <w:tr w:rsidR="00963230" w:rsidRPr="005F2054" w14:paraId="5A6150E6" w14:textId="77777777" w:rsidTr="00DD5BC3">
        <w:tc>
          <w:tcPr>
            <w:tcW w:w="8494" w:type="dxa"/>
          </w:tcPr>
          <w:p w14:paraId="1099C601" w14:textId="77777777" w:rsidR="00963230" w:rsidRPr="005F2054" w:rsidRDefault="00963230" w:rsidP="005F2054">
            <w:pPr>
              <w:spacing w:line="276" w:lineRule="auto"/>
              <w:rPr>
                <w:rFonts w:ascii="Arial" w:hAnsi="Arial" w:cs="Arial"/>
                <w:b/>
                <w:bCs/>
                <w:sz w:val="22"/>
                <w:szCs w:val="22"/>
                <w:lang w:val="en-US"/>
              </w:rPr>
            </w:pPr>
            <w:r w:rsidRPr="005F2054">
              <w:rPr>
                <w:rFonts w:ascii="Arial" w:hAnsi="Arial" w:cs="Arial"/>
                <w:b/>
                <w:bCs/>
                <w:sz w:val="22"/>
                <w:szCs w:val="22"/>
                <w:lang w:val="en-US"/>
              </w:rPr>
              <w:t>Physical examination</w:t>
            </w:r>
          </w:p>
          <w:p w14:paraId="764DDBB1"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-Weight</w:t>
            </w:r>
          </w:p>
          <w:p w14:paraId="23F21282"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-BMI</w:t>
            </w:r>
          </w:p>
          <w:p w14:paraId="1E090068" w14:textId="47500E65" w:rsidR="00963230" w:rsidRPr="005F2054" w:rsidRDefault="00963230" w:rsidP="005F2054">
            <w:pPr>
              <w:spacing w:line="276" w:lineRule="auto"/>
              <w:rPr>
                <w:rFonts w:ascii="Arial" w:hAnsi="Arial" w:cs="Arial"/>
                <w:b/>
                <w:bCs/>
                <w:sz w:val="22"/>
                <w:szCs w:val="22"/>
                <w:lang w:val="en-US"/>
              </w:rPr>
            </w:pPr>
            <w:r w:rsidRPr="008A433E">
              <w:rPr>
                <w:rFonts w:ascii="Arial" w:hAnsi="Arial" w:cs="Arial"/>
                <w:sz w:val="22"/>
                <w:szCs w:val="22"/>
                <w:lang w:val="en-US"/>
              </w:rPr>
              <w:t>-Presence of imbalance, complications</w:t>
            </w:r>
          </w:p>
        </w:tc>
      </w:tr>
      <w:tr w:rsidR="00963230" w:rsidRPr="005F2054" w14:paraId="3963EB7E" w14:textId="77777777" w:rsidTr="00DD5BC3">
        <w:tc>
          <w:tcPr>
            <w:tcW w:w="8494" w:type="dxa"/>
          </w:tcPr>
          <w:p w14:paraId="62696D75" w14:textId="77777777" w:rsidR="00963230" w:rsidRPr="005F2054" w:rsidRDefault="00963230" w:rsidP="005F2054">
            <w:pPr>
              <w:spacing w:line="276" w:lineRule="auto"/>
              <w:rPr>
                <w:rFonts w:ascii="Arial" w:hAnsi="Arial" w:cs="Arial"/>
                <w:b/>
                <w:bCs/>
                <w:sz w:val="22"/>
                <w:szCs w:val="22"/>
                <w:lang w:val="en-US"/>
              </w:rPr>
            </w:pPr>
            <w:r w:rsidRPr="005F2054">
              <w:rPr>
                <w:rFonts w:ascii="Arial" w:hAnsi="Arial" w:cs="Arial"/>
                <w:b/>
                <w:bCs/>
                <w:sz w:val="22"/>
                <w:szCs w:val="22"/>
                <w:lang w:val="en-US"/>
              </w:rPr>
              <w:t>Laboratory</w:t>
            </w:r>
          </w:p>
          <w:p w14:paraId="0198FC8C" w14:textId="77777777" w:rsidR="00963230" w:rsidRPr="008A433E" w:rsidRDefault="00963230" w:rsidP="005F2054">
            <w:pPr>
              <w:spacing w:line="276" w:lineRule="auto"/>
              <w:rPr>
                <w:rFonts w:ascii="Arial" w:hAnsi="Arial" w:cs="Arial"/>
                <w:sz w:val="22"/>
                <w:szCs w:val="22"/>
                <w:lang w:val="en-US"/>
              </w:rPr>
            </w:pPr>
            <w:r w:rsidRPr="005F2054">
              <w:rPr>
                <w:rFonts w:ascii="Arial" w:hAnsi="Arial" w:cs="Arial"/>
                <w:b/>
                <w:bCs/>
                <w:sz w:val="22"/>
                <w:szCs w:val="22"/>
                <w:lang w:val="en-US"/>
              </w:rPr>
              <w:t>-</w:t>
            </w:r>
            <w:r w:rsidRPr="008A433E">
              <w:rPr>
                <w:rFonts w:ascii="Arial" w:hAnsi="Arial" w:cs="Arial"/>
                <w:sz w:val="22"/>
                <w:szCs w:val="22"/>
                <w:lang w:val="en-US"/>
              </w:rPr>
              <w:t>Serum Ca, P04, Mg</w:t>
            </w:r>
          </w:p>
          <w:p w14:paraId="651D2E92"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-Serum intact PTH</w:t>
            </w:r>
          </w:p>
          <w:p w14:paraId="2B907B39"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-Serum 25OHD</w:t>
            </w:r>
          </w:p>
          <w:p w14:paraId="60D3F307"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-Renal function parameters</w:t>
            </w:r>
          </w:p>
          <w:p w14:paraId="3E1F2BA9"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-Bone mineral density</w:t>
            </w:r>
          </w:p>
          <w:p w14:paraId="4CDABD3F"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-Trabecular Bone Score</w:t>
            </w:r>
          </w:p>
          <w:p w14:paraId="7E9B0555" w14:textId="3B6334FC"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-Bone turnover markers (formation</w:t>
            </w:r>
            <w:r w:rsidR="00AF407B" w:rsidRPr="008A433E">
              <w:rPr>
                <w:rFonts w:ascii="Arial" w:hAnsi="Arial" w:cs="Arial"/>
                <w:sz w:val="22"/>
                <w:szCs w:val="22"/>
                <w:lang w:val="en-US"/>
              </w:rPr>
              <w:t>/</w:t>
            </w:r>
            <w:r w:rsidRPr="008A433E">
              <w:rPr>
                <w:rFonts w:ascii="Arial" w:hAnsi="Arial" w:cs="Arial"/>
                <w:sz w:val="22"/>
                <w:szCs w:val="22"/>
                <w:lang w:val="en-US"/>
              </w:rPr>
              <w:t>resorption)</w:t>
            </w:r>
          </w:p>
          <w:p w14:paraId="1C2879DA"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-Gonadal hormone levels (testosterone in men, estradiol, LH levels in women)</w:t>
            </w:r>
          </w:p>
          <w:p w14:paraId="57D7704B" w14:textId="77777777" w:rsidR="00963230" w:rsidRPr="008A433E" w:rsidRDefault="00963230" w:rsidP="005F2054">
            <w:pPr>
              <w:spacing w:line="276" w:lineRule="auto"/>
              <w:rPr>
                <w:rFonts w:ascii="Arial" w:hAnsi="Arial" w:cs="Arial"/>
                <w:sz w:val="22"/>
                <w:szCs w:val="22"/>
                <w:lang w:val="en-US"/>
              </w:rPr>
            </w:pPr>
            <w:r w:rsidRPr="008A433E">
              <w:rPr>
                <w:rFonts w:ascii="Arial" w:hAnsi="Arial" w:cs="Arial"/>
                <w:sz w:val="22"/>
                <w:szCs w:val="22"/>
                <w:lang w:val="en-US"/>
              </w:rPr>
              <w:t>-Thyroid function studies</w:t>
            </w:r>
          </w:p>
          <w:p w14:paraId="1D113D28" w14:textId="654503FE" w:rsidR="00963230" w:rsidRPr="005F2054" w:rsidRDefault="00963230" w:rsidP="005F2054">
            <w:pPr>
              <w:spacing w:line="276" w:lineRule="auto"/>
              <w:rPr>
                <w:rFonts w:ascii="Arial" w:hAnsi="Arial" w:cs="Arial"/>
                <w:b/>
                <w:bCs/>
                <w:sz w:val="22"/>
                <w:szCs w:val="22"/>
                <w:lang w:val="en-US"/>
              </w:rPr>
            </w:pPr>
            <w:r w:rsidRPr="008A433E">
              <w:rPr>
                <w:rFonts w:ascii="Arial" w:hAnsi="Arial" w:cs="Arial"/>
                <w:sz w:val="22"/>
                <w:szCs w:val="22"/>
                <w:lang w:val="en-US"/>
              </w:rPr>
              <w:t>-Urinary calcium excretion</w:t>
            </w:r>
          </w:p>
        </w:tc>
      </w:tr>
      <w:tr w:rsidR="00963230" w:rsidRPr="005F2054" w14:paraId="6B70FE82" w14:textId="77777777" w:rsidTr="00DD5BC3">
        <w:tc>
          <w:tcPr>
            <w:tcW w:w="8494" w:type="dxa"/>
          </w:tcPr>
          <w:p w14:paraId="494E10F2" w14:textId="77777777" w:rsidR="00963230" w:rsidRPr="005F2054" w:rsidRDefault="00963230" w:rsidP="005F2054">
            <w:pPr>
              <w:spacing w:line="276" w:lineRule="auto"/>
              <w:rPr>
                <w:rFonts w:ascii="Arial" w:hAnsi="Arial" w:cs="Arial"/>
                <w:b/>
                <w:bCs/>
                <w:sz w:val="22"/>
                <w:szCs w:val="22"/>
                <w:lang w:val="en-US"/>
              </w:rPr>
            </w:pPr>
            <w:r w:rsidRPr="005F2054">
              <w:rPr>
                <w:rFonts w:ascii="Arial" w:hAnsi="Arial" w:cs="Arial"/>
                <w:b/>
                <w:bCs/>
                <w:sz w:val="22"/>
                <w:szCs w:val="22"/>
                <w:lang w:val="en-US"/>
              </w:rPr>
              <w:t>Densitometry: DXA</w:t>
            </w:r>
          </w:p>
          <w:p w14:paraId="6874FF3F" w14:textId="2079A9CD" w:rsidR="00963230" w:rsidRPr="005F2054" w:rsidRDefault="00963230" w:rsidP="0054128C">
            <w:pPr>
              <w:spacing w:line="276" w:lineRule="auto"/>
              <w:rPr>
                <w:rFonts w:ascii="Arial" w:hAnsi="Arial" w:cs="Arial"/>
                <w:b/>
                <w:bCs/>
                <w:sz w:val="22"/>
                <w:szCs w:val="22"/>
                <w:lang w:val="en-US"/>
              </w:rPr>
            </w:pPr>
            <w:r w:rsidRPr="005F2054">
              <w:rPr>
                <w:rFonts w:ascii="Arial" w:hAnsi="Arial" w:cs="Arial"/>
                <w:b/>
                <w:bCs/>
                <w:sz w:val="22"/>
                <w:szCs w:val="22"/>
                <w:lang w:val="en-US"/>
              </w:rPr>
              <w:t>Fracture Risk</w:t>
            </w:r>
            <w:r w:rsidR="00AF407B" w:rsidRPr="005F2054">
              <w:rPr>
                <w:rFonts w:ascii="Arial" w:hAnsi="Arial" w:cs="Arial"/>
                <w:b/>
                <w:bCs/>
                <w:sz w:val="22"/>
                <w:szCs w:val="22"/>
                <w:lang w:val="en-US"/>
              </w:rPr>
              <w:t xml:space="preserve"> Assessment</w:t>
            </w:r>
            <w:r w:rsidR="0054128C">
              <w:rPr>
                <w:rFonts w:ascii="Arial" w:hAnsi="Arial" w:cs="Arial"/>
                <w:b/>
                <w:bCs/>
                <w:sz w:val="22"/>
                <w:szCs w:val="22"/>
                <w:lang w:val="en-US"/>
              </w:rPr>
              <w:t xml:space="preserve">: </w:t>
            </w:r>
            <w:r w:rsidRPr="005F2054">
              <w:rPr>
                <w:rFonts w:ascii="Arial" w:hAnsi="Arial" w:cs="Arial"/>
                <w:b/>
                <w:bCs/>
                <w:color w:val="474747"/>
                <w:sz w:val="22"/>
                <w:szCs w:val="22"/>
                <w:shd w:val="clear" w:color="auto" w:fill="FFFFFF"/>
                <w:lang w:val="en-US"/>
              </w:rPr>
              <w:t>FRAX® test</w:t>
            </w:r>
            <w:r w:rsidRPr="005F2054">
              <w:rPr>
                <w:rFonts w:ascii="Arial" w:hAnsi="Arial" w:cs="Arial"/>
                <w:b/>
                <w:bCs/>
                <w:sz w:val="22"/>
                <w:szCs w:val="22"/>
                <w:lang w:val="en-US"/>
              </w:rPr>
              <w:t xml:space="preserve"> </w:t>
            </w:r>
          </w:p>
        </w:tc>
      </w:tr>
    </w:tbl>
    <w:p w14:paraId="4881725C" w14:textId="77777777" w:rsidR="00963230" w:rsidRPr="005F2054" w:rsidRDefault="00963230" w:rsidP="005F2054">
      <w:pPr>
        <w:pStyle w:val="NormalWeb"/>
        <w:spacing w:before="0" w:beforeAutospacing="0" w:after="0" w:afterAutospacing="0" w:line="276" w:lineRule="auto"/>
        <w:rPr>
          <w:rFonts w:ascii="Arial" w:hAnsi="Arial" w:cs="Arial"/>
          <w:sz w:val="22"/>
          <w:szCs w:val="22"/>
          <w:lang w:val="en-US"/>
        </w:rPr>
      </w:pPr>
    </w:p>
    <w:p w14:paraId="3651007C" w14:textId="45686E51" w:rsidR="008A433E" w:rsidRPr="00B26CEB" w:rsidRDefault="003A0268" w:rsidP="005F2054">
      <w:pPr>
        <w:pStyle w:val="NormalWeb"/>
        <w:spacing w:before="0" w:beforeAutospacing="0" w:after="0" w:afterAutospacing="0" w:line="276" w:lineRule="auto"/>
        <w:rPr>
          <w:rFonts w:ascii="Arial" w:hAnsi="Arial" w:cs="Arial"/>
          <w:b/>
          <w:bCs/>
          <w:color w:val="00B050"/>
          <w:sz w:val="22"/>
          <w:szCs w:val="22"/>
          <w:lang w:val="en-US"/>
        </w:rPr>
      </w:pPr>
      <w:r w:rsidRPr="00B26CEB">
        <w:rPr>
          <w:rFonts w:ascii="Arial" w:hAnsi="Arial" w:cs="Arial"/>
          <w:b/>
          <w:bCs/>
          <w:color w:val="00B050"/>
          <w:sz w:val="22"/>
          <w:szCs w:val="22"/>
          <w:lang w:val="en-US"/>
        </w:rPr>
        <w:t>P</w:t>
      </w:r>
      <w:r w:rsidR="00B87884" w:rsidRPr="00B26CEB">
        <w:rPr>
          <w:rFonts w:ascii="Arial" w:hAnsi="Arial" w:cs="Arial"/>
          <w:b/>
          <w:bCs/>
          <w:color w:val="00B050"/>
          <w:sz w:val="22"/>
          <w:szCs w:val="22"/>
          <w:lang w:val="en-US"/>
        </w:rPr>
        <w:t xml:space="preserve">reventive Management </w:t>
      </w:r>
      <w:r w:rsidR="00B26CEB" w:rsidRPr="00B26CEB">
        <w:rPr>
          <w:rFonts w:ascii="Arial" w:hAnsi="Arial" w:cs="Arial"/>
          <w:b/>
          <w:bCs/>
          <w:color w:val="00B050"/>
          <w:sz w:val="22"/>
          <w:szCs w:val="22"/>
          <w:lang w:val="en-US"/>
        </w:rPr>
        <w:t xml:space="preserve">and Post-Transplant Osteoporosis Treatment </w:t>
      </w:r>
    </w:p>
    <w:p w14:paraId="534C251B" w14:textId="77777777" w:rsidR="00B26CEB" w:rsidRDefault="00B26CEB" w:rsidP="005F2054">
      <w:pPr>
        <w:pStyle w:val="NormalWeb"/>
        <w:spacing w:before="0" w:beforeAutospacing="0" w:after="0" w:afterAutospacing="0" w:line="276" w:lineRule="auto"/>
        <w:rPr>
          <w:rFonts w:ascii="Arial" w:hAnsi="Arial" w:cs="Arial"/>
          <w:sz w:val="22"/>
          <w:szCs w:val="22"/>
          <w:lang w:val="en-US"/>
        </w:rPr>
      </w:pPr>
    </w:p>
    <w:p w14:paraId="689569A8" w14:textId="66ADD854" w:rsidR="00987D0F" w:rsidRDefault="00AF407B"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Although numerous studies in solid organ transplant recipients have demonstrated the beneficial effects of antiresorptive agents in preventing bone loss, the majority have been limited by insufficient statistical power to detect significant differences in fracture incidence. Nonetheless, two reports have provided evidence supporting the effectiveness of initiating treatment with bisphosphonates or vitamin D supplementation in reducing the risk of post-transplant fractures</w:t>
      </w:r>
      <w:r w:rsidR="0057112D" w:rsidRPr="005F2054">
        <w:rPr>
          <w:rFonts w:ascii="Arial" w:hAnsi="Arial" w:cs="Arial"/>
          <w:sz w:val="22"/>
          <w:szCs w:val="22"/>
          <w:lang w:val="en-US"/>
        </w:rPr>
        <w:t xml:space="preserve"> </w:t>
      </w:r>
      <w:r w:rsidR="005168CF" w:rsidRPr="008A433E">
        <w:rPr>
          <w:rFonts w:ascii="Arial" w:hAnsi="Arial" w:cs="Arial"/>
          <w:sz w:val="22"/>
          <w:szCs w:val="22"/>
          <w:lang w:val="en-US"/>
        </w:rPr>
        <w:t>(78</w:t>
      </w:r>
      <w:r w:rsidR="0008376B" w:rsidRPr="008A433E">
        <w:rPr>
          <w:rFonts w:ascii="Arial" w:hAnsi="Arial" w:cs="Arial"/>
          <w:sz w:val="22"/>
          <w:szCs w:val="22"/>
          <w:lang w:val="en-US"/>
        </w:rPr>
        <w:t>,79</w:t>
      </w:r>
      <w:r w:rsidR="005168CF" w:rsidRPr="008A433E">
        <w:rPr>
          <w:rFonts w:ascii="Arial" w:hAnsi="Arial" w:cs="Arial"/>
          <w:sz w:val="22"/>
          <w:szCs w:val="22"/>
          <w:lang w:val="en-US"/>
        </w:rPr>
        <w:t>)</w:t>
      </w:r>
      <w:r w:rsidR="0070329E" w:rsidRPr="008A433E">
        <w:rPr>
          <w:rFonts w:ascii="Arial" w:hAnsi="Arial" w:cs="Arial"/>
          <w:sz w:val="22"/>
          <w:szCs w:val="22"/>
          <w:lang w:val="en-US"/>
        </w:rPr>
        <w:t xml:space="preserve"> </w:t>
      </w:r>
      <w:r w:rsidR="002C0428" w:rsidRPr="008A433E">
        <w:rPr>
          <w:rFonts w:ascii="Arial" w:hAnsi="Arial" w:cs="Arial"/>
          <w:sz w:val="22"/>
          <w:szCs w:val="22"/>
          <w:lang w:val="en-US"/>
        </w:rPr>
        <w:t>(Table 6)</w:t>
      </w:r>
      <w:r w:rsidR="0070329E" w:rsidRPr="008A433E">
        <w:rPr>
          <w:rFonts w:ascii="Arial" w:hAnsi="Arial" w:cs="Arial"/>
          <w:sz w:val="22"/>
          <w:szCs w:val="22"/>
          <w:lang w:val="en-US"/>
        </w:rPr>
        <w:t>.</w:t>
      </w:r>
    </w:p>
    <w:p w14:paraId="1DE646B1" w14:textId="77777777" w:rsidR="00B26CEB" w:rsidRPr="008A433E" w:rsidRDefault="00B26CEB" w:rsidP="005F2054">
      <w:pPr>
        <w:pStyle w:val="NormalWeb"/>
        <w:spacing w:before="0" w:beforeAutospacing="0" w:after="0" w:afterAutospacing="0" w:line="276" w:lineRule="auto"/>
        <w:rPr>
          <w:rFonts w:ascii="Arial" w:hAnsi="Arial" w:cs="Arial"/>
          <w:sz w:val="22"/>
          <w:szCs w:val="22"/>
          <w:lang w:val="en-US"/>
        </w:rPr>
      </w:pPr>
    </w:p>
    <w:p w14:paraId="74E36F74" w14:textId="32E433E8" w:rsidR="0057112D" w:rsidRDefault="008F2017"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Given that patients who have undergone solid organ transplantation are at a higher risk of fractures compared to the general population</w:t>
      </w:r>
      <w:r w:rsidR="008238A6">
        <w:rPr>
          <w:rFonts w:ascii="Arial" w:hAnsi="Arial" w:cs="Arial"/>
          <w:sz w:val="22"/>
          <w:szCs w:val="22"/>
          <w:lang w:val="en-US"/>
        </w:rPr>
        <w:t xml:space="preserve">, </w:t>
      </w:r>
      <w:r w:rsidRPr="005F2054">
        <w:rPr>
          <w:rFonts w:ascii="Arial" w:hAnsi="Arial" w:cs="Arial"/>
          <w:sz w:val="22"/>
          <w:szCs w:val="22"/>
          <w:lang w:val="en-US"/>
        </w:rPr>
        <w:t xml:space="preserve">particularly within the </w:t>
      </w:r>
      <w:proofErr w:type="gramStart"/>
      <w:r w:rsidRPr="005F2054">
        <w:rPr>
          <w:rFonts w:ascii="Arial" w:hAnsi="Arial" w:cs="Arial"/>
          <w:sz w:val="22"/>
          <w:szCs w:val="22"/>
          <w:lang w:val="en-US"/>
        </w:rPr>
        <w:t>first year</w:t>
      </w:r>
      <w:proofErr w:type="gramEnd"/>
      <w:r w:rsidRPr="005F2054">
        <w:rPr>
          <w:rFonts w:ascii="Arial" w:hAnsi="Arial" w:cs="Arial"/>
          <w:sz w:val="22"/>
          <w:szCs w:val="22"/>
          <w:lang w:val="en-US"/>
        </w:rPr>
        <w:t xml:space="preserve"> post-transplant</w:t>
      </w:r>
      <w:r w:rsidR="00CF7A18">
        <w:rPr>
          <w:rFonts w:ascii="Arial" w:hAnsi="Arial" w:cs="Arial"/>
          <w:sz w:val="22"/>
          <w:szCs w:val="22"/>
          <w:lang w:val="en-US"/>
        </w:rPr>
        <w:t xml:space="preserve">, </w:t>
      </w:r>
      <w:r w:rsidRPr="005F2054">
        <w:rPr>
          <w:rFonts w:ascii="Arial" w:hAnsi="Arial" w:cs="Arial"/>
          <w:sz w:val="22"/>
          <w:szCs w:val="22"/>
          <w:lang w:val="en-US"/>
        </w:rPr>
        <w:t>several experts and professional societies recommend preventive treatment during this critical period, especially for heart, lung, and liver transplant recipients</w:t>
      </w:r>
      <w:r w:rsidR="0057112D" w:rsidRPr="005F2054">
        <w:rPr>
          <w:rFonts w:ascii="Arial" w:hAnsi="Arial" w:cs="Arial"/>
          <w:sz w:val="22"/>
          <w:szCs w:val="22"/>
          <w:lang w:val="en-US"/>
        </w:rPr>
        <w:t xml:space="preserve">. </w:t>
      </w:r>
      <w:r w:rsidRPr="005F2054">
        <w:rPr>
          <w:rFonts w:ascii="Arial" w:hAnsi="Arial" w:cs="Arial"/>
          <w:sz w:val="22"/>
          <w:szCs w:val="22"/>
          <w:lang w:val="en-US"/>
        </w:rPr>
        <w:t xml:space="preserve">For instance, the International Society for Heart and Lung Transplantation (ISHLT) guidelines recommend preventive therapy for all heart transplant recipients during the first year following </w:t>
      </w:r>
      <w:r w:rsidRPr="00B26CEB">
        <w:rPr>
          <w:rFonts w:ascii="Arial" w:hAnsi="Arial" w:cs="Arial"/>
          <w:sz w:val="22"/>
          <w:szCs w:val="22"/>
          <w:lang w:val="en-US"/>
        </w:rPr>
        <w:t xml:space="preserve">transplantation </w:t>
      </w:r>
      <w:r w:rsidRPr="00B26CEB">
        <w:rPr>
          <w:rFonts w:ascii="Arial" w:hAnsi="Arial" w:cs="Arial"/>
          <w:sz w:val="22"/>
          <w:szCs w:val="22"/>
          <w:lang w:val="en-GB"/>
        </w:rPr>
        <w:t xml:space="preserve">(80). </w:t>
      </w:r>
      <w:r w:rsidRPr="00B26CEB">
        <w:rPr>
          <w:rFonts w:ascii="Arial" w:hAnsi="Arial" w:cs="Arial"/>
          <w:sz w:val="22"/>
          <w:szCs w:val="22"/>
          <w:lang w:val="en-US"/>
        </w:rPr>
        <w:t xml:space="preserve">Similarly, the American Association for the Study of Liver </w:t>
      </w:r>
      <w:r w:rsidRPr="00B26CEB">
        <w:rPr>
          <w:rFonts w:ascii="Arial" w:hAnsi="Arial" w:cs="Arial"/>
          <w:sz w:val="22"/>
          <w:szCs w:val="22"/>
          <w:lang w:val="en-US"/>
        </w:rPr>
        <w:lastRenderedPageBreak/>
        <w:t xml:space="preserve">Diseases (AASLD) guidelines advocate for the use of bone-protective treatment in all liver transplant recipients </w:t>
      </w:r>
      <w:r w:rsidRPr="00B26CEB">
        <w:rPr>
          <w:rFonts w:ascii="Arial" w:hAnsi="Arial" w:cs="Arial"/>
          <w:sz w:val="22"/>
          <w:szCs w:val="22"/>
          <w:lang w:val="en-GB"/>
        </w:rPr>
        <w:t xml:space="preserve">(81). </w:t>
      </w:r>
      <w:r w:rsidRPr="00B26CEB">
        <w:rPr>
          <w:rFonts w:ascii="Arial" w:hAnsi="Arial" w:cs="Arial"/>
          <w:sz w:val="22"/>
          <w:szCs w:val="22"/>
          <w:lang w:val="en-US"/>
        </w:rPr>
        <w:t xml:space="preserve">In lung transplantation, where the incidence of osteoporosis and osteopenia is significantly </w:t>
      </w:r>
      <w:r w:rsidRPr="005F2054">
        <w:rPr>
          <w:rFonts w:ascii="Arial" w:hAnsi="Arial" w:cs="Arial"/>
          <w:sz w:val="22"/>
          <w:szCs w:val="22"/>
          <w:lang w:val="en-US"/>
        </w:rPr>
        <w:t>higher than in other transplant populations, preventive treatment is also strongly recommended</w:t>
      </w:r>
      <w:r w:rsidR="0057112D" w:rsidRPr="005F2054">
        <w:rPr>
          <w:rFonts w:ascii="Arial" w:hAnsi="Arial" w:cs="Arial"/>
          <w:sz w:val="22"/>
          <w:szCs w:val="22"/>
          <w:lang w:val="en-US"/>
        </w:rPr>
        <w:t>.</w:t>
      </w:r>
    </w:p>
    <w:p w14:paraId="7FD714E9" w14:textId="77777777" w:rsidR="00B26CEB" w:rsidRPr="005F2054" w:rsidRDefault="00B26CEB" w:rsidP="005F2054">
      <w:pPr>
        <w:pStyle w:val="NormalWeb"/>
        <w:spacing w:before="0" w:beforeAutospacing="0" w:after="0" w:afterAutospacing="0" w:line="276" w:lineRule="auto"/>
        <w:rPr>
          <w:rFonts w:ascii="Arial" w:hAnsi="Arial" w:cs="Arial"/>
          <w:sz w:val="22"/>
          <w:szCs w:val="22"/>
          <w:lang w:val="en-US"/>
        </w:rPr>
      </w:pPr>
    </w:p>
    <w:p w14:paraId="5437B8F9" w14:textId="20E4A3C3" w:rsidR="0057112D" w:rsidRDefault="008F2017"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In contrast, there is currently no consensus regarding the use of preventive therapy in renal transplantation. Some authors have proposed initiating antiresorptive treatment in patients with osteopenia and a high risk of fracture. They emphasize the importance of a comprehensive fracture risk assessment, which should include factors such as age, sex, history of fragility fractures, bone mineral density (BMD), bone turnover markers, and parathyroid hormone (PTH) levels </w:t>
      </w:r>
      <w:r w:rsidRPr="00CF7A18">
        <w:rPr>
          <w:rFonts w:ascii="Arial" w:hAnsi="Arial" w:cs="Arial"/>
          <w:sz w:val="22"/>
          <w:szCs w:val="22"/>
          <w:lang w:val="en-GB"/>
        </w:rPr>
        <w:t xml:space="preserve">(82). </w:t>
      </w:r>
      <w:r w:rsidRPr="00CF7A18">
        <w:rPr>
          <w:rFonts w:ascii="Arial" w:hAnsi="Arial" w:cs="Arial"/>
          <w:sz w:val="22"/>
          <w:szCs w:val="22"/>
          <w:lang w:val="en-US"/>
        </w:rPr>
        <w:t xml:space="preserve">Preventive </w:t>
      </w:r>
      <w:r w:rsidRPr="005F2054">
        <w:rPr>
          <w:rFonts w:ascii="Arial" w:hAnsi="Arial" w:cs="Arial"/>
          <w:sz w:val="22"/>
          <w:szCs w:val="22"/>
          <w:lang w:val="en-US"/>
        </w:rPr>
        <w:t>treatment is generally recommended for patients with elevated fracture risk and/or evidence of osteopenia</w:t>
      </w:r>
      <w:r w:rsidR="0057112D" w:rsidRPr="005F2054">
        <w:rPr>
          <w:rFonts w:ascii="Arial" w:hAnsi="Arial" w:cs="Arial"/>
          <w:sz w:val="22"/>
          <w:szCs w:val="22"/>
          <w:lang w:val="en-US"/>
        </w:rPr>
        <w:t>.</w:t>
      </w:r>
    </w:p>
    <w:p w14:paraId="08546B8F" w14:textId="77777777" w:rsidR="00CF7A18" w:rsidRDefault="00CF7A18" w:rsidP="005F2054">
      <w:pPr>
        <w:pStyle w:val="NormalWeb"/>
        <w:spacing w:before="0" w:beforeAutospacing="0" w:after="0" w:afterAutospacing="0" w:line="276" w:lineRule="auto"/>
        <w:rPr>
          <w:rFonts w:ascii="Arial" w:hAnsi="Arial" w:cs="Arial"/>
          <w:sz w:val="22"/>
          <w:szCs w:val="22"/>
          <w:lang w:val="en-US"/>
        </w:rPr>
      </w:pPr>
    </w:p>
    <w:p w14:paraId="3DBE6CD4" w14:textId="77777777" w:rsidR="00CF7A18" w:rsidRPr="005F2054" w:rsidRDefault="00CF7A18" w:rsidP="00CF7A18">
      <w:pPr>
        <w:spacing w:after="0"/>
        <w:contextualSpacing/>
        <w:rPr>
          <w:rFonts w:ascii="Arial" w:hAnsi="Arial" w:cs="Arial"/>
          <w:lang w:val="en-US"/>
        </w:rPr>
      </w:pPr>
      <w:r w:rsidRPr="005F2054">
        <w:rPr>
          <w:rFonts w:ascii="Arial" w:hAnsi="Arial" w:cs="Arial"/>
          <w:color w:val="212121"/>
          <w:shd w:val="clear" w:color="auto" w:fill="FFFFFF"/>
          <w:lang w:val="en-US"/>
        </w:rPr>
        <w:t>The management of bone loss in patients undergoing bone marrow transplantation is currently under investigation. A recent meta-analysis suggests that, in patients with a BMD T-score below -1.5, bisphosphonates</w:t>
      </w:r>
      <w:r>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particularly zoledronic acid</w:t>
      </w:r>
      <w:r>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are effective in preventing bone loss. If renal function is impaired or bisphosphonates are not well tolerated, denosumab is recommended as an alternative. Clinical trials involving teriparatide, </w:t>
      </w:r>
      <w:proofErr w:type="spellStart"/>
      <w:r w:rsidRPr="005F2054">
        <w:rPr>
          <w:rFonts w:ascii="Arial" w:hAnsi="Arial" w:cs="Arial"/>
          <w:color w:val="212121"/>
          <w:shd w:val="clear" w:color="auto" w:fill="FFFFFF"/>
          <w:lang w:val="en-US"/>
        </w:rPr>
        <w:t>abaloparatide</w:t>
      </w:r>
      <w:proofErr w:type="spellEnd"/>
      <w:r w:rsidRPr="005F2054">
        <w:rPr>
          <w:rFonts w:ascii="Arial" w:hAnsi="Arial" w:cs="Arial"/>
          <w:color w:val="212121"/>
          <w:shd w:val="clear" w:color="auto" w:fill="FFFFFF"/>
          <w:lang w:val="en-US"/>
        </w:rPr>
        <w:t xml:space="preserve">, and </w:t>
      </w:r>
      <w:proofErr w:type="spellStart"/>
      <w:r w:rsidRPr="005F2054">
        <w:rPr>
          <w:rFonts w:ascii="Arial" w:hAnsi="Arial" w:cs="Arial"/>
          <w:color w:val="212121"/>
          <w:shd w:val="clear" w:color="auto" w:fill="FFFFFF"/>
          <w:lang w:val="en-US"/>
        </w:rPr>
        <w:t>romosozumab</w:t>
      </w:r>
      <w:proofErr w:type="spellEnd"/>
      <w:r w:rsidRPr="005F2054">
        <w:rPr>
          <w:rFonts w:ascii="Arial" w:hAnsi="Arial" w:cs="Arial"/>
          <w:color w:val="212121"/>
          <w:shd w:val="clear" w:color="auto" w:fill="FFFFFF"/>
          <w:lang w:val="en-US"/>
        </w:rPr>
        <w:t xml:space="preserve"> have not yet been published (128).</w:t>
      </w:r>
      <w:r w:rsidRPr="005F2054">
        <w:rPr>
          <w:rFonts w:ascii="Arial" w:hAnsi="Arial" w:cs="Arial"/>
          <w:lang w:val="en-US"/>
        </w:rPr>
        <w:t xml:space="preserve"> </w:t>
      </w:r>
    </w:p>
    <w:p w14:paraId="39B02745" w14:textId="77777777" w:rsidR="00CF7A18" w:rsidRPr="005F2054" w:rsidRDefault="00CF7A18" w:rsidP="005F2054">
      <w:pPr>
        <w:pStyle w:val="NormalWeb"/>
        <w:spacing w:before="0" w:beforeAutospacing="0" w:after="0" w:afterAutospacing="0" w:line="276" w:lineRule="auto"/>
        <w:rPr>
          <w:rFonts w:ascii="Arial" w:hAnsi="Arial" w:cs="Arial"/>
          <w:sz w:val="22"/>
          <w:szCs w:val="22"/>
          <w:lang w:val="en-US"/>
        </w:rPr>
      </w:pPr>
    </w:p>
    <w:tbl>
      <w:tblPr>
        <w:tblStyle w:val="TableGrid"/>
        <w:tblW w:w="9634" w:type="dxa"/>
        <w:tblLook w:val="04A0" w:firstRow="1" w:lastRow="0" w:firstColumn="1" w:lastColumn="0" w:noHBand="0" w:noVBand="1"/>
      </w:tblPr>
      <w:tblGrid>
        <w:gridCol w:w="2831"/>
        <w:gridCol w:w="2831"/>
        <w:gridCol w:w="3972"/>
      </w:tblGrid>
      <w:tr w:rsidR="00963230" w:rsidRPr="005F2054" w14:paraId="0280CB51" w14:textId="77777777" w:rsidTr="00B26CEB">
        <w:tc>
          <w:tcPr>
            <w:tcW w:w="9634" w:type="dxa"/>
            <w:gridSpan w:val="3"/>
            <w:shd w:val="clear" w:color="auto" w:fill="FFFF00"/>
          </w:tcPr>
          <w:p w14:paraId="4548520E" w14:textId="5AD7EC16" w:rsidR="00963230" w:rsidRPr="005F2054" w:rsidRDefault="00963230" w:rsidP="00B26CEB">
            <w:pPr>
              <w:spacing w:line="276" w:lineRule="auto"/>
              <w:rPr>
                <w:rFonts w:ascii="Arial" w:hAnsi="Arial" w:cs="Arial"/>
                <w:b/>
                <w:bCs/>
                <w:sz w:val="22"/>
                <w:szCs w:val="22"/>
                <w:lang w:val="en-US"/>
              </w:rPr>
            </w:pPr>
            <w:bookmarkStart w:id="6" w:name="_Hlk193281636"/>
            <w:r w:rsidRPr="00B26CEB">
              <w:rPr>
                <w:rFonts w:ascii="Arial" w:hAnsi="Arial" w:cs="Arial"/>
                <w:b/>
                <w:bCs/>
                <w:sz w:val="22"/>
                <w:szCs w:val="22"/>
                <w:shd w:val="clear" w:color="auto" w:fill="FFFF00"/>
                <w:lang w:val="en-US"/>
              </w:rPr>
              <w:t xml:space="preserve">Table 6.  Antiresorptive </w:t>
            </w:r>
            <w:r w:rsidR="00B26CEB" w:rsidRPr="00B26CEB">
              <w:rPr>
                <w:rFonts w:ascii="Arial" w:hAnsi="Arial" w:cs="Arial"/>
                <w:b/>
                <w:bCs/>
                <w:sz w:val="22"/>
                <w:szCs w:val="22"/>
                <w:shd w:val="clear" w:color="auto" w:fill="FFFF00"/>
                <w:lang w:val="en-US"/>
              </w:rPr>
              <w:t>T</w:t>
            </w:r>
            <w:r w:rsidRPr="00B26CEB">
              <w:rPr>
                <w:rFonts w:ascii="Arial" w:hAnsi="Arial" w:cs="Arial"/>
                <w:b/>
                <w:bCs/>
                <w:sz w:val="22"/>
                <w:szCs w:val="22"/>
                <w:shd w:val="clear" w:color="auto" w:fill="FFFF00"/>
                <w:lang w:val="en-US"/>
              </w:rPr>
              <w:t xml:space="preserve">herapy with </w:t>
            </w:r>
            <w:r w:rsidR="00B26CEB" w:rsidRPr="00B26CEB">
              <w:rPr>
                <w:rFonts w:ascii="Arial" w:hAnsi="Arial" w:cs="Arial"/>
                <w:b/>
                <w:bCs/>
                <w:sz w:val="22"/>
                <w:szCs w:val="22"/>
                <w:shd w:val="clear" w:color="auto" w:fill="FFFF00"/>
                <w:lang w:val="en-US"/>
              </w:rPr>
              <w:t>P</w:t>
            </w:r>
            <w:r w:rsidRPr="00B26CEB">
              <w:rPr>
                <w:rFonts w:ascii="Arial" w:hAnsi="Arial" w:cs="Arial"/>
                <w:b/>
                <w:bCs/>
                <w:sz w:val="22"/>
                <w:szCs w:val="22"/>
                <w:shd w:val="clear" w:color="auto" w:fill="FFFF00"/>
                <w:lang w:val="en-US"/>
              </w:rPr>
              <w:t xml:space="preserve">roven </w:t>
            </w:r>
            <w:r w:rsidR="00B26CEB" w:rsidRPr="00B26CEB">
              <w:rPr>
                <w:rFonts w:ascii="Arial" w:hAnsi="Arial" w:cs="Arial"/>
                <w:b/>
                <w:bCs/>
                <w:sz w:val="22"/>
                <w:szCs w:val="22"/>
                <w:shd w:val="clear" w:color="auto" w:fill="FFFF00"/>
                <w:lang w:val="en-US"/>
              </w:rPr>
              <w:t>E</w:t>
            </w:r>
            <w:r w:rsidRPr="00B26CEB">
              <w:rPr>
                <w:rFonts w:ascii="Arial" w:hAnsi="Arial" w:cs="Arial"/>
                <w:b/>
                <w:bCs/>
                <w:sz w:val="22"/>
                <w:szCs w:val="22"/>
                <w:shd w:val="clear" w:color="auto" w:fill="FFFF00"/>
                <w:lang w:val="en-US"/>
              </w:rPr>
              <w:t>fficacy</w:t>
            </w:r>
            <w:r w:rsidRPr="005F2054">
              <w:rPr>
                <w:rFonts w:ascii="Arial" w:hAnsi="Arial" w:cs="Arial"/>
                <w:b/>
                <w:bCs/>
                <w:sz w:val="22"/>
                <w:szCs w:val="22"/>
                <w:lang w:val="en-US"/>
              </w:rPr>
              <w:t xml:space="preserve"> in </w:t>
            </w:r>
            <w:r w:rsidR="00B26CEB">
              <w:rPr>
                <w:rFonts w:ascii="Arial" w:hAnsi="Arial" w:cs="Arial"/>
                <w:b/>
                <w:bCs/>
                <w:sz w:val="22"/>
                <w:szCs w:val="22"/>
                <w:lang w:val="en-US"/>
              </w:rPr>
              <w:t>I</w:t>
            </w:r>
            <w:r w:rsidRPr="005F2054">
              <w:rPr>
                <w:rFonts w:ascii="Arial" w:hAnsi="Arial" w:cs="Arial"/>
                <w:b/>
                <w:bCs/>
                <w:sz w:val="22"/>
                <w:szCs w:val="22"/>
                <w:lang w:val="en-US"/>
              </w:rPr>
              <w:t xml:space="preserve">ncreasing </w:t>
            </w:r>
            <w:r w:rsidR="00B26CEB">
              <w:rPr>
                <w:rFonts w:ascii="Arial" w:hAnsi="Arial" w:cs="Arial"/>
                <w:b/>
                <w:bCs/>
                <w:sz w:val="22"/>
                <w:szCs w:val="22"/>
                <w:lang w:val="en-US"/>
              </w:rPr>
              <w:t>B</w:t>
            </w:r>
            <w:r w:rsidRPr="005F2054">
              <w:rPr>
                <w:rFonts w:ascii="Arial" w:hAnsi="Arial" w:cs="Arial"/>
                <w:b/>
                <w:bCs/>
                <w:sz w:val="22"/>
                <w:szCs w:val="22"/>
                <w:lang w:val="en-US"/>
              </w:rPr>
              <w:t xml:space="preserve">one </w:t>
            </w:r>
            <w:r w:rsidR="00B26CEB">
              <w:rPr>
                <w:rFonts w:ascii="Arial" w:hAnsi="Arial" w:cs="Arial"/>
                <w:b/>
                <w:bCs/>
                <w:sz w:val="22"/>
                <w:szCs w:val="22"/>
                <w:lang w:val="en-US"/>
              </w:rPr>
              <w:t>M</w:t>
            </w:r>
            <w:r w:rsidRPr="005F2054">
              <w:rPr>
                <w:rFonts w:ascii="Arial" w:hAnsi="Arial" w:cs="Arial"/>
                <w:b/>
                <w:bCs/>
                <w:sz w:val="22"/>
                <w:szCs w:val="22"/>
                <w:lang w:val="en-US"/>
              </w:rPr>
              <w:t xml:space="preserve">ineral </w:t>
            </w:r>
            <w:r w:rsidR="00B26CEB">
              <w:rPr>
                <w:rFonts w:ascii="Arial" w:hAnsi="Arial" w:cs="Arial"/>
                <w:b/>
                <w:bCs/>
                <w:sz w:val="22"/>
                <w:szCs w:val="22"/>
                <w:lang w:val="en-US"/>
              </w:rPr>
              <w:t>D</w:t>
            </w:r>
            <w:r w:rsidRPr="005F2054">
              <w:rPr>
                <w:rFonts w:ascii="Arial" w:hAnsi="Arial" w:cs="Arial"/>
                <w:b/>
                <w:bCs/>
                <w:sz w:val="22"/>
                <w:szCs w:val="22"/>
                <w:lang w:val="en-US"/>
              </w:rPr>
              <w:t xml:space="preserve">ensity in </w:t>
            </w:r>
            <w:r w:rsidR="002E13F2" w:rsidRPr="005F2054">
              <w:rPr>
                <w:rFonts w:ascii="Arial" w:hAnsi="Arial" w:cs="Arial"/>
                <w:b/>
                <w:bCs/>
                <w:sz w:val="22"/>
                <w:szCs w:val="22"/>
                <w:lang w:val="en-US"/>
              </w:rPr>
              <w:t xml:space="preserve">Solid Organ Transplant </w:t>
            </w:r>
            <w:r w:rsidR="00B26CEB">
              <w:rPr>
                <w:rFonts w:ascii="Arial" w:hAnsi="Arial" w:cs="Arial"/>
                <w:b/>
                <w:bCs/>
                <w:sz w:val="22"/>
                <w:szCs w:val="22"/>
                <w:lang w:val="en-US"/>
              </w:rPr>
              <w:t>P</w:t>
            </w:r>
            <w:r w:rsidR="002E13F2" w:rsidRPr="005F2054">
              <w:rPr>
                <w:rFonts w:ascii="Arial" w:hAnsi="Arial" w:cs="Arial"/>
                <w:b/>
                <w:bCs/>
                <w:sz w:val="22"/>
                <w:szCs w:val="22"/>
                <w:lang w:val="en-US"/>
              </w:rPr>
              <w:t>atients</w:t>
            </w:r>
            <w:bookmarkEnd w:id="6"/>
          </w:p>
        </w:tc>
      </w:tr>
      <w:tr w:rsidR="00963230" w:rsidRPr="005F2054" w14:paraId="3FA5E655" w14:textId="77777777" w:rsidTr="00DD5BC3">
        <w:tc>
          <w:tcPr>
            <w:tcW w:w="2831" w:type="dxa"/>
          </w:tcPr>
          <w:p w14:paraId="220488F1" w14:textId="77777777" w:rsidR="00963230" w:rsidRPr="005F2054" w:rsidRDefault="00963230" w:rsidP="005F2054">
            <w:pPr>
              <w:spacing w:line="276" w:lineRule="auto"/>
              <w:rPr>
                <w:rFonts w:ascii="Arial" w:hAnsi="Arial" w:cs="Arial"/>
                <w:b/>
                <w:bCs/>
                <w:sz w:val="22"/>
                <w:szCs w:val="22"/>
                <w:lang w:val="en-US"/>
              </w:rPr>
            </w:pPr>
            <w:r w:rsidRPr="005F2054">
              <w:rPr>
                <w:rFonts w:ascii="Arial" w:hAnsi="Arial" w:cs="Arial"/>
                <w:b/>
                <w:bCs/>
                <w:sz w:val="22"/>
                <w:szCs w:val="22"/>
                <w:lang w:val="en-US"/>
              </w:rPr>
              <w:t>Medications</w:t>
            </w:r>
          </w:p>
        </w:tc>
        <w:tc>
          <w:tcPr>
            <w:tcW w:w="2831" w:type="dxa"/>
          </w:tcPr>
          <w:p w14:paraId="230646F8" w14:textId="77777777" w:rsidR="00963230" w:rsidRPr="005F2054" w:rsidRDefault="00963230" w:rsidP="005F2054">
            <w:pPr>
              <w:spacing w:line="276" w:lineRule="auto"/>
              <w:rPr>
                <w:rFonts w:ascii="Arial" w:hAnsi="Arial" w:cs="Arial"/>
                <w:b/>
                <w:bCs/>
                <w:sz w:val="22"/>
                <w:szCs w:val="22"/>
                <w:lang w:val="en-US"/>
              </w:rPr>
            </w:pPr>
            <w:r w:rsidRPr="005F2054">
              <w:rPr>
                <w:rFonts w:ascii="Arial" w:hAnsi="Arial" w:cs="Arial"/>
                <w:b/>
                <w:bCs/>
                <w:sz w:val="22"/>
                <w:szCs w:val="22"/>
                <w:lang w:val="en-US"/>
              </w:rPr>
              <w:t>Dose and route of administration</w:t>
            </w:r>
          </w:p>
        </w:tc>
        <w:tc>
          <w:tcPr>
            <w:tcW w:w="3972" w:type="dxa"/>
          </w:tcPr>
          <w:p w14:paraId="42DD522A" w14:textId="77777777" w:rsidR="00963230" w:rsidRPr="005F2054" w:rsidRDefault="00963230" w:rsidP="005F2054">
            <w:pPr>
              <w:spacing w:line="276" w:lineRule="auto"/>
              <w:rPr>
                <w:rFonts w:ascii="Arial" w:hAnsi="Arial" w:cs="Arial"/>
                <w:b/>
                <w:bCs/>
                <w:sz w:val="22"/>
                <w:szCs w:val="22"/>
                <w:lang w:val="en-US"/>
              </w:rPr>
            </w:pPr>
            <w:r w:rsidRPr="005F2054">
              <w:rPr>
                <w:rFonts w:ascii="Arial" w:hAnsi="Arial" w:cs="Arial"/>
                <w:b/>
                <w:bCs/>
                <w:sz w:val="22"/>
                <w:szCs w:val="22"/>
                <w:lang w:val="en-US"/>
              </w:rPr>
              <w:t>Rare possible long-term Adverse Effects</w:t>
            </w:r>
          </w:p>
        </w:tc>
      </w:tr>
      <w:tr w:rsidR="00963230" w:rsidRPr="00B26CEB" w14:paraId="38EB19D2" w14:textId="77777777" w:rsidTr="00DD5BC3">
        <w:tc>
          <w:tcPr>
            <w:tcW w:w="2831" w:type="dxa"/>
          </w:tcPr>
          <w:p w14:paraId="5A8212E2"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Bisphosphonates</w:t>
            </w:r>
          </w:p>
          <w:p w14:paraId="4B1B574B"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-Alendronate</w:t>
            </w:r>
          </w:p>
          <w:p w14:paraId="72F0C75D" w14:textId="77777777" w:rsidR="00963230" w:rsidRPr="00B26CEB" w:rsidRDefault="00963230" w:rsidP="005F2054">
            <w:pPr>
              <w:spacing w:line="276" w:lineRule="auto"/>
              <w:rPr>
                <w:rFonts w:ascii="Arial" w:hAnsi="Arial" w:cs="Arial"/>
                <w:sz w:val="22"/>
                <w:szCs w:val="22"/>
                <w:lang w:val="en-US"/>
              </w:rPr>
            </w:pPr>
          </w:p>
          <w:p w14:paraId="1A1D22F0" w14:textId="77777777" w:rsidR="00963230" w:rsidRPr="00B26CEB" w:rsidRDefault="00963230" w:rsidP="005F2054">
            <w:pPr>
              <w:spacing w:line="276" w:lineRule="auto"/>
              <w:rPr>
                <w:rFonts w:ascii="Arial" w:hAnsi="Arial" w:cs="Arial"/>
                <w:sz w:val="22"/>
                <w:szCs w:val="22"/>
                <w:lang w:val="en-US"/>
              </w:rPr>
            </w:pPr>
          </w:p>
          <w:p w14:paraId="6AD2173E" w14:textId="77777777" w:rsidR="00963230" w:rsidRPr="00B26CEB" w:rsidRDefault="00963230" w:rsidP="005F2054">
            <w:pPr>
              <w:spacing w:line="276" w:lineRule="auto"/>
              <w:rPr>
                <w:rFonts w:ascii="Arial" w:hAnsi="Arial" w:cs="Arial"/>
                <w:sz w:val="22"/>
                <w:szCs w:val="22"/>
                <w:lang w:val="en-US"/>
              </w:rPr>
            </w:pPr>
          </w:p>
          <w:p w14:paraId="18D29F5C"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-Risedronate</w:t>
            </w:r>
          </w:p>
          <w:p w14:paraId="63384D62" w14:textId="77777777" w:rsidR="00963230" w:rsidRPr="00B26CEB" w:rsidRDefault="00963230" w:rsidP="005F2054">
            <w:pPr>
              <w:spacing w:line="276" w:lineRule="auto"/>
              <w:rPr>
                <w:rFonts w:ascii="Arial" w:hAnsi="Arial" w:cs="Arial"/>
                <w:sz w:val="22"/>
                <w:szCs w:val="22"/>
                <w:lang w:val="en-US"/>
              </w:rPr>
            </w:pPr>
          </w:p>
          <w:p w14:paraId="01FD94F4"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-Ibandronate</w:t>
            </w:r>
          </w:p>
          <w:p w14:paraId="7847FAC7" w14:textId="77777777" w:rsidR="00963230" w:rsidRPr="00B26CEB" w:rsidRDefault="00963230" w:rsidP="005F2054">
            <w:pPr>
              <w:spacing w:line="276" w:lineRule="auto"/>
              <w:rPr>
                <w:rFonts w:ascii="Arial" w:hAnsi="Arial" w:cs="Arial"/>
                <w:sz w:val="22"/>
                <w:szCs w:val="22"/>
                <w:lang w:val="en-US"/>
              </w:rPr>
            </w:pPr>
          </w:p>
          <w:p w14:paraId="7C6C8F97" w14:textId="77777777" w:rsidR="00963230" w:rsidRPr="00B26CEB" w:rsidRDefault="00963230" w:rsidP="005F2054">
            <w:pPr>
              <w:spacing w:line="276" w:lineRule="auto"/>
              <w:rPr>
                <w:rFonts w:ascii="Arial" w:hAnsi="Arial" w:cs="Arial"/>
                <w:sz w:val="22"/>
                <w:szCs w:val="22"/>
                <w:lang w:val="en-US"/>
              </w:rPr>
            </w:pPr>
          </w:p>
          <w:p w14:paraId="6BCD88F7"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w:t>
            </w:r>
            <w:proofErr w:type="spellStart"/>
            <w:r w:rsidRPr="00B26CEB">
              <w:rPr>
                <w:rFonts w:ascii="Arial" w:hAnsi="Arial" w:cs="Arial"/>
                <w:sz w:val="22"/>
                <w:szCs w:val="22"/>
                <w:lang w:val="en-US"/>
              </w:rPr>
              <w:t>Zolendronic</w:t>
            </w:r>
            <w:proofErr w:type="spellEnd"/>
            <w:r w:rsidRPr="00B26CEB">
              <w:rPr>
                <w:rFonts w:ascii="Arial" w:hAnsi="Arial" w:cs="Arial"/>
                <w:sz w:val="22"/>
                <w:szCs w:val="22"/>
                <w:lang w:val="en-US"/>
              </w:rPr>
              <w:t xml:space="preserve"> acid</w:t>
            </w:r>
          </w:p>
          <w:p w14:paraId="420B87C7" w14:textId="77777777" w:rsidR="00963230" w:rsidRPr="00B26CEB" w:rsidRDefault="00963230" w:rsidP="005F2054">
            <w:pPr>
              <w:spacing w:line="276" w:lineRule="auto"/>
              <w:rPr>
                <w:rFonts w:ascii="Arial" w:hAnsi="Arial" w:cs="Arial"/>
                <w:sz w:val="22"/>
                <w:szCs w:val="22"/>
                <w:lang w:val="en-US"/>
              </w:rPr>
            </w:pPr>
          </w:p>
          <w:p w14:paraId="4F64C3A5"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-Pamidronate</w:t>
            </w:r>
          </w:p>
          <w:p w14:paraId="4369844F" w14:textId="77777777" w:rsidR="00963230" w:rsidRPr="00B26CEB" w:rsidRDefault="00963230" w:rsidP="005F2054">
            <w:pPr>
              <w:spacing w:line="276" w:lineRule="auto"/>
              <w:rPr>
                <w:rFonts w:ascii="Arial" w:hAnsi="Arial" w:cs="Arial"/>
                <w:sz w:val="22"/>
                <w:szCs w:val="22"/>
                <w:lang w:val="en-US"/>
              </w:rPr>
            </w:pPr>
          </w:p>
        </w:tc>
        <w:tc>
          <w:tcPr>
            <w:tcW w:w="2831" w:type="dxa"/>
          </w:tcPr>
          <w:p w14:paraId="4205B120" w14:textId="77777777" w:rsidR="00963230" w:rsidRPr="00B26CEB" w:rsidRDefault="00963230" w:rsidP="005F2054">
            <w:pPr>
              <w:spacing w:line="276" w:lineRule="auto"/>
              <w:rPr>
                <w:rFonts w:ascii="Arial" w:hAnsi="Arial" w:cs="Arial"/>
                <w:sz w:val="22"/>
                <w:szCs w:val="22"/>
                <w:lang w:val="en-US"/>
              </w:rPr>
            </w:pPr>
          </w:p>
          <w:p w14:paraId="6F68FE13"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70 mg PO/week</w:t>
            </w:r>
          </w:p>
          <w:p w14:paraId="29E81CDC" w14:textId="77777777" w:rsidR="00963230" w:rsidRPr="00B26CEB" w:rsidRDefault="00963230" w:rsidP="005F2054">
            <w:pPr>
              <w:spacing w:line="276" w:lineRule="auto"/>
              <w:rPr>
                <w:rFonts w:ascii="Arial" w:hAnsi="Arial" w:cs="Arial"/>
                <w:sz w:val="22"/>
                <w:szCs w:val="22"/>
                <w:lang w:val="en-US"/>
              </w:rPr>
            </w:pPr>
          </w:p>
          <w:p w14:paraId="48A7E46F" w14:textId="77777777" w:rsidR="00963230" w:rsidRPr="00B26CEB" w:rsidRDefault="00963230" w:rsidP="005F2054">
            <w:pPr>
              <w:spacing w:line="276" w:lineRule="auto"/>
              <w:rPr>
                <w:rFonts w:ascii="Arial" w:hAnsi="Arial" w:cs="Arial"/>
                <w:sz w:val="22"/>
                <w:szCs w:val="22"/>
                <w:lang w:val="en-US"/>
              </w:rPr>
            </w:pPr>
          </w:p>
          <w:p w14:paraId="6BF35F39" w14:textId="77777777" w:rsidR="00963230" w:rsidRPr="00B26CEB" w:rsidRDefault="00963230" w:rsidP="005F2054">
            <w:pPr>
              <w:spacing w:line="276" w:lineRule="auto"/>
              <w:rPr>
                <w:rFonts w:ascii="Arial" w:hAnsi="Arial" w:cs="Arial"/>
                <w:sz w:val="22"/>
                <w:szCs w:val="22"/>
                <w:lang w:val="en-US"/>
              </w:rPr>
            </w:pPr>
          </w:p>
          <w:p w14:paraId="7298F2EF"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5 mg PO/daily</w:t>
            </w:r>
          </w:p>
          <w:p w14:paraId="70ACA3F2" w14:textId="77777777" w:rsidR="00963230" w:rsidRPr="00B26CEB" w:rsidRDefault="00963230" w:rsidP="005F2054">
            <w:pPr>
              <w:spacing w:line="276" w:lineRule="auto"/>
              <w:rPr>
                <w:rFonts w:ascii="Arial" w:hAnsi="Arial" w:cs="Arial"/>
                <w:sz w:val="22"/>
                <w:szCs w:val="22"/>
                <w:lang w:val="en-US"/>
              </w:rPr>
            </w:pPr>
          </w:p>
          <w:p w14:paraId="2A1A7520"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150 mg PO/monthly</w:t>
            </w:r>
          </w:p>
          <w:p w14:paraId="540C09FE" w14:textId="55A23D92"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 xml:space="preserve">3 mg </w:t>
            </w:r>
            <w:r w:rsidR="00601ACE" w:rsidRPr="00B26CEB">
              <w:rPr>
                <w:rFonts w:ascii="Arial" w:hAnsi="Arial" w:cs="Arial"/>
                <w:sz w:val="22"/>
                <w:szCs w:val="22"/>
                <w:lang w:val="en-US"/>
              </w:rPr>
              <w:t>IV</w:t>
            </w:r>
            <w:r w:rsidRPr="00B26CEB">
              <w:rPr>
                <w:rFonts w:ascii="Arial" w:hAnsi="Arial" w:cs="Arial"/>
                <w:sz w:val="22"/>
                <w:szCs w:val="22"/>
                <w:lang w:val="en-US"/>
              </w:rPr>
              <w:t>/3 months</w:t>
            </w:r>
          </w:p>
          <w:p w14:paraId="6CE8260B" w14:textId="77777777" w:rsidR="00963230" w:rsidRPr="00B26CEB" w:rsidRDefault="00963230" w:rsidP="005F2054">
            <w:pPr>
              <w:spacing w:line="276" w:lineRule="auto"/>
              <w:rPr>
                <w:rFonts w:ascii="Arial" w:hAnsi="Arial" w:cs="Arial"/>
                <w:sz w:val="22"/>
                <w:szCs w:val="22"/>
                <w:lang w:val="en-US"/>
              </w:rPr>
            </w:pPr>
          </w:p>
          <w:p w14:paraId="21086CDC" w14:textId="752807C5"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 xml:space="preserve">5 mg </w:t>
            </w:r>
            <w:r w:rsidR="00601ACE" w:rsidRPr="00B26CEB">
              <w:rPr>
                <w:rFonts w:ascii="Arial" w:hAnsi="Arial" w:cs="Arial"/>
                <w:sz w:val="22"/>
                <w:szCs w:val="22"/>
                <w:lang w:val="en-US"/>
              </w:rPr>
              <w:t>IV</w:t>
            </w:r>
            <w:r w:rsidRPr="00B26CEB">
              <w:rPr>
                <w:rFonts w:ascii="Arial" w:hAnsi="Arial" w:cs="Arial"/>
                <w:sz w:val="22"/>
                <w:szCs w:val="22"/>
                <w:lang w:val="en-US"/>
              </w:rPr>
              <w:t>/year for 5 yrs</w:t>
            </w:r>
          </w:p>
          <w:p w14:paraId="7D5CC680" w14:textId="77777777" w:rsidR="00963230" w:rsidRPr="00B26CEB" w:rsidRDefault="00963230" w:rsidP="005F2054">
            <w:pPr>
              <w:spacing w:line="276" w:lineRule="auto"/>
              <w:rPr>
                <w:rFonts w:ascii="Arial" w:hAnsi="Arial" w:cs="Arial"/>
                <w:sz w:val="22"/>
                <w:szCs w:val="22"/>
                <w:lang w:val="en-US"/>
              </w:rPr>
            </w:pPr>
          </w:p>
          <w:p w14:paraId="6B380E9D" w14:textId="7AD5BFB2"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 xml:space="preserve">30 mg </w:t>
            </w:r>
            <w:r w:rsidR="00601ACE" w:rsidRPr="00B26CEB">
              <w:rPr>
                <w:rFonts w:ascii="Arial" w:hAnsi="Arial" w:cs="Arial"/>
                <w:sz w:val="22"/>
                <w:szCs w:val="22"/>
                <w:lang w:val="en-US"/>
              </w:rPr>
              <w:t>IV</w:t>
            </w:r>
            <w:r w:rsidRPr="00B26CEB">
              <w:rPr>
                <w:rFonts w:ascii="Arial" w:hAnsi="Arial" w:cs="Arial"/>
                <w:sz w:val="22"/>
                <w:szCs w:val="22"/>
                <w:lang w:val="en-US"/>
              </w:rPr>
              <w:t>/3 months</w:t>
            </w:r>
          </w:p>
        </w:tc>
        <w:tc>
          <w:tcPr>
            <w:tcW w:w="3972" w:type="dxa"/>
          </w:tcPr>
          <w:p w14:paraId="60958F73" w14:textId="77777777" w:rsidR="00963230" w:rsidRPr="00B26CEB" w:rsidRDefault="00963230" w:rsidP="005F2054">
            <w:pPr>
              <w:spacing w:line="276" w:lineRule="auto"/>
              <w:rPr>
                <w:rFonts w:ascii="Arial" w:hAnsi="Arial" w:cs="Arial"/>
                <w:sz w:val="22"/>
                <w:szCs w:val="22"/>
                <w:lang w:val="en-US"/>
              </w:rPr>
            </w:pPr>
          </w:p>
          <w:p w14:paraId="64AD16B3" w14:textId="71CEAE38"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GI intolerance, hypocalcemia</w:t>
            </w:r>
            <w:r w:rsidR="008F2017" w:rsidRPr="00B26CEB">
              <w:rPr>
                <w:rFonts w:ascii="Arial" w:hAnsi="Arial" w:cs="Arial"/>
                <w:sz w:val="22"/>
                <w:szCs w:val="22"/>
                <w:lang w:val="en-US"/>
              </w:rPr>
              <w:t>,</w:t>
            </w:r>
            <w:r w:rsidRPr="00B26CEB">
              <w:rPr>
                <w:rFonts w:ascii="Arial" w:hAnsi="Arial" w:cs="Arial"/>
                <w:sz w:val="22"/>
                <w:szCs w:val="22"/>
                <w:lang w:val="en-US"/>
              </w:rPr>
              <w:t xml:space="preserve"> rare jaw osteonecrosis and atypical femur fracture</w:t>
            </w:r>
          </w:p>
          <w:p w14:paraId="5F4CCEC1" w14:textId="77777777" w:rsidR="00963230" w:rsidRPr="00B26CEB" w:rsidRDefault="00963230" w:rsidP="005F2054">
            <w:pPr>
              <w:spacing w:line="276" w:lineRule="auto"/>
              <w:rPr>
                <w:rFonts w:ascii="Arial" w:hAnsi="Arial" w:cs="Arial"/>
                <w:sz w:val="22"/>
                <w:szCs w:val="22"/>
                <w:lang w:val="en-US"/>
              </w:rPr>
            </w:pPr>
          </w:p>
          <w:p w14:paraId="20A4BA60"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Same as above</w:t>
            </w:r>
          </w:p>
          <w:p w14:paraId="6A8EBCCE" w14:textId="77777777" w:rsidR="00963230" w:rsidRPr="00B26CEB" w:rsidRDefault="00963230" w:rsidP="005F2054">
            <w:pPr>
              <w:spacing w:line="276" w:lineRule="auto"/>
              <w:rPr>
                <w:rFonts w:ascii="Arial" w:hAnsi="Arial" w:cs="Arial"/>
                <w:sz w:val="22"/>
                <w:szCs w:val="22"/>
                <w:lang w:val="en-US"/>
              </w:rPr>
            </w:pPr>
          </w:p>
          <w:p w14:paraId="00EE1311"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Same as above</w:t>
            </w:r>
          </w:p>
          <w:p w14:paraId="485E19B0" w14:textId="77777777" w:rsidR="00963230" w:rsidRPr="00B26CEB" w:rsidRDefault="00963230" w:rsidP="005F2054">
            <w:pPr>
              <w:spacing w:line="276" w:lineRule="auto"/>
              <w:rPr>
                <w:rFonts w:ascii="Arial" w:hAnsi="Arial" w:cs="Arial"/>
                <w:sz w:val="22"/>
                <w:szCs w:val="22"/>
                <w:lang w:val="en-US"/>
              </w:rPr>
            </w:pPr>
          </w:p>
          <w:p w14:paraId="5D0C5CB7" w14:textId="77777777" w:rsidR="00963230" w:rsidRPr="00B26CEB" w:rsidRDefault="00963230" w:rsidP="005F2054">
            <w:pPr>
              <w:spacing w:line="276" w:lineRule="auto"/>
              <w:rPr>
                <w:rFonts w:ascii="Arial" w:hAnsi="Arial" w:cs="Arial"/>
                <w:sz w:val="22"/>
                <w:szCs w:val="22"/>
                <w:lang w:val="en-US"/>
              </w:rPr>
            </w:pPr>
          </w:p>
          <w:p w14:paraId="3E4DAD60"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Same as above plus infusion reaction</w:t>
            </w:r>
          </w:p>
          <w:p w14:paraId="45010DFF" w14:textId="77777777" w:rsidR="00963230" w:rsidRPr="00B26CEB" w:rsidRDefault="00963230" w:rsidP="005F2054">
            <w:pPr>
              <w:spacing w:line="276" w:lineRule="auto"/>
              <w:rPr>
                <w:rFonts w:ascii="Arial" w:hAnsi="Arial" w:cs="Arial"/>
                <w:sz w:val="22"/>
                <w:szCs w:val="22"/>
                <w:lang w:val="en-US"/>
              </w:rPr>
            </w:pPr>
          </w:p>
          <w:p w14:paraId="5482CC79"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Same as above</w:t>
            </w:r>
          </w:p>
        </w:tc>
      </w:tr>
      <w:tr w:rsidR="00963230" w:rsidRPr="00B26CEB" w14:paraId="1184A245" w14:textId="77777777" w:rsidTr="00DD5BC3">
        <w:tc>
          <w:tcPr>
            <w:tcW w:w="2831" w:type="dxa"/>
          </w:tcPr>
          <w:p w14:paraId="2E4A5B4A"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Denosumab</w:t>
            </w:r>
          </w:p>
          <w:p w14:paraId="759D0317" w14:textId="77777777" w:rsidR="00963230" w:rsidRPr="00B26CEB" w:rsidRDefault="00963230" w:rsidP="005F2054">
            <w:pPr>
              <w:spacing w:line="276" w:lineRule="auto"/>
              <w:rPr>
                <w:rFonts w:ascii="Arial" w:hAnsi="Arial" w:cs="Arial"/>
                <w:sz w:val="22"/>
                <w:szCs w:val="22"/>
                <w:lang w:val="en-US"/>
              </w:rPr>
            </w:pPr>
          </w:p>
          <w:p w14:paraId="614C8748" w14:textId="77777777" w:rsidR="00963230" w:rsidRPr="00B26CEB" w:rsidRDefault="00963230" w:rsidP="005F2054">
            <w:pPr>
              <w:spacing w:line="276" w:lineRule="auto"/>
              <w:rPr>
                <w:rFonts w:ascii="Arial" w:hAnsi="Arial" w:cs="Arial"/>
                <w:sz w:val="22"/>
                <w:szCs w:val="22"/>
                <w:lang w:val="en-US"/>
              </w:rPr>
            </w:pPr>
          </w:p>
        </w:tc>
        <w:tc>
          <w:tcPr>
            <w:tcW w:w="2831" w:type="dxa"/>
          </w:tcPr>
          <w:p w14:paraId="4FEEBB35" w14:textId="726C6ECC"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 xml:space="preserve">60 mg </w:t>
            </w:r>
            <w:r w:rsidR="00601ACE" w:rsidRPr="00B26CEB">
              <w:rPr>
                <w:rFonts w:ascii="Arial" w:hAnsi="Arial" w:cs="Arial"/>
                <w:sz w:val="22"/>
                <w:szCs w:val="22"/>
                <w:lang w:val="en-US"/>
              </w:rPr>
              <w:t>SC</w:t>
            </w:r>
            <w:r w:rsidRPr="00B26CEB">
              <w:rPr>
                <w:rFonts w:ascii="Arial" w:hAnsi="Arial" w:cs="Arial"/>
                <w:sz w:val="22"/>
                <w:szCs w:val="22"/>
                <w:lang w:val="en-US"/>
              </w:rPr>
              <w:t>/6 months</w:t>
            </w:r>
          </w:p>
        </w:tc>
        <w:tc>
          <w:tcPr>
            <w:tcW w:w="3972" w:type="dxa"/>
          </w:tcPr>
          <w:p w14:paraId="1490C93B"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Liver safe, fractures rebound after cessation</w:t>
            </w:r>
          </w:p>
        </w:tc>
      </w:tr>
      <w:tr w:rsidR="00963230" w:rsidRPr="00B26CEB" w14:paraId="6502A853" w14:textId="77777777" w:rsidTr="00DD5BC3">
        <w:tc>
          <w:tcPr>
            <w:tcW w:w="2831" w:type="dxa"/>
          </w:tcPr>
          <w:p w14:paraId="23B7162B"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Teriparatide</w:t>
            </w:r>
          </w:p>
          <w:p w14:paraId="2851EFA2" w14:textId="77777777" w:rsidR="00A72C32" w:rsidRPr="00B26CEB" w:rsidRDefault="00A72C32" w:rsidP="005F2054">
            <w:pPr>
              <w:spacing w:line="276" w:lineRule="auto"/>
              <w:rPr>
                <w:rFonts w:ascii="Arial" w:hAnsi="Arial" w:cs="Arial"/>
                <w:sz w:val="22"/>
                <w:szCs w:val="22"/>
                <w:lang w:val="en-US"/>
              </w:rPr>
            </w:pPr>
          </w:p>
        </w:tc>
        <w:tc>
          <w:tcPr>
            <w:tcW w:w="2831" w:type="dxa"/>
          </w:tcPr>
          <w:p w14:paraId="6A62E707" w14:textId="323FDE64"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 xml:space="preserve">20 ug/day </w:t>
            </w:r>
            <w:r w:rsidR="00601ACE" w:rsidRPr="00B26CEB">
              <w:rPr>
                <w:rFonts w:ascii="Arial" w:hAnsi="Arial" w:cs="Arial"/>
                <w:sz w:val="22"/>
                <w:szCs w:val="22"/>
                <w:lang w:val="en-US"/>
              </w:rPr>
              <w:t>SC</w:t>
            </w:r>
            <w:r w:rsidRPr="00B26CEB">
              <w:rPr>
                <w:rFonts w:ascii="Arial" w:hAnsi="Arial" w:cs="Arial"/>
                <w:sz w:val="22"/>
                <w:szCs w:val="22"/>
                <w:lang w:val="en-US"/>
              </w:rPr>
              <w:t>/2 years only</w:t>
            </w:r>
          </w:p>
        </w:tc>
        <w:tc>
          <w:tcPr>
            <w:tcW w:w="3972" w:type="dxa"/>
          </w:tcPr>
          <w:p w14:paraId="6F45D4D3" w14:textId="77777777" w:rsidR="00963230" w:rsidRPr="00B26CEB" w:rsidRDefault="00963230" w:rsidP="005F2054">
            <w:pPr>
              <w:spacing w:line="276" w:lineRule="auto"/>
              <w:rPr>
                <w:rFonts w:ascii="Arial" w:hAnsi="Arial" w:cs="Arial"/>
                <w:sz w:val="22"/>
                <w:szCs w:val="22"/>
                <w:lang w:val="en-US"/>
              </w:rPr>
            </w:pPr>
            <w:r w:rsidRPr="00B26CEB">
              <w:rPr>
                <w:rFonts w:ascii="Arial" w:hAnsi="Arial" w:cs="Arial"/>
                <w:sz w:val="22"/>
                <w:szCs w:val="22"/>
                <w:lang w:val="en-US"/>
              </w:rPr>
              <w:t>Hypercalcemia</w:t>
            </w:r>
          </w:p>
        </w:tc>
      </w:tr>
    </w:tbl>
    <w:p w14:paraId="320053CA" w14:textId="78770AD1" w:rsidR="00963230" w:rsidRPr="00B26CEB" w:rsidRDefault="00963230" w:rsidP="005F2054">
      <w:pPr>
        <w:spacing w:after="0"/>
        <w:rPr>
          <w:rFonts w:ascii="Arial" w:hAnsi="Arial" w:cs="Arial"/>
          <w:lang w:val="en-US"/>
        </w:rPr>
      </w:pPr>
      <w:r w:rsidRPr="00B26CEB">
        <w:rPr>
          <w:rFonts w:ascii="Arial" w:hAnsi="Arial" w:cs="Arial"/>
          <w:lang w:val="en-US"/>
        </w:rPr>
        <w:t xml:space="preserve">PO = per </w:t>
      </w:r>
      <w:proofErr w:type="spellStart"/>
      <w:r w:rsidR="008F2017" w:rsidRPr="00B26CEB">
        <w:rPr>
          <w:rFonts w:ascii="Arial" w:hAnsi="Arial" w:cs="Arial"/>
          <w:lang w:val="en-US"/>
        </w:rPr>
        <w:t>os</w:t>
      </w:r>
      <w:proofErr w:type="spellEnd"/>
      <w:r w:rsidRPr="00B26CEB">
        <w:rPr>
          <w:rFonts w:ascii="Arial" w:hAnsi="Arial" w:cs="Arial"/>
          <w:lang w:val="en-US"/>
        </w:rPr>
        <w:t xml:space="preserve">; </w:t>
      </w:r>
      <w:r w:rsidR="00601ACE" w:rsidRPr="00B26CEB">
        <w:rPr>
          <w:rFonts w:ascii="Arial" w:hAnsi="Arial" w:cs="Arial"/>
          <w:lang w:val="en-US"/>
        </w:rPr>
        <w:t>SC</w:t>
      </w:r>
      <w:r w:rsidRPr="00B26CEB">
        <w:rPr>
          <w:rFonts w:ascii="Arial" w:hAnsi="Arial" w:cs="Arial"/>
          <w:lang w:val="en-US"/>
        </w:rPr>
        <w:t xml:space="preserve"> = subcutaneously </w:t>
      </w:r>
    </w:p>
    <w:p w14:paraId="2C1A574D" w14:textId="77777777" w:rsidR="00963230" w:rsidRPr="00B26CEB" w:rsidRDefault="00963230" w:rsidP="005F2054">
      <w:pPr>
        <w:pStyle w:val="NormalWeb"/>
        <w:spacing w:before="0" w:beforeAutospacing="0" w:after="0" w:afterAutospacing="0" w:line="276" w:lineRule="auto"/>
        <w:rPr>
          <w:rFonts w:ascii="Arial" w:hAnsi="Arial" w:cs="Arial"/>
          <w:sz w:val="22"/>
          <w:szCs w:val="22"/>
          <w:lang w:val="en-US"/>
        </w:rPr>
      </w:pPr>
    </w:p>
    <w:p w14:paraId="7C554A8D" w14:textId="1175A566" w:rsidR="0057112D" w:rsidRPr="009F5665" w:rsidRDefault="003A0268" w:rsidP="005F2054">
      <w:pPr>
        <w:pStyle w:val="NormalWeb"/>
        <w:spacing w:before="0" w:beforeAutospacing="0" w:after="0" w:afterAutospacing="0" w:line="276" w:lineRule="auto"/>
        <w:rPr>
          <w:rFonts w:ascii="Arial" w:hAnsi="Arial" w:cs="Arial"/>
          <w:color w:val="C00000"/>
          <w:sz w:val="22"/>
          <w:szCs w:val="22"/>
          <w:lang w:val="en-US"/>
        </w:rPr>
      </w:pPr>
      <w:r w:rsidRPr="009F5665">
        <w:rPr>
          <w:rFonts w:ascii="Arial" w:hAnsi="Arial" w:cs="Arial"/>
          <w:color w:val="C00000"/>
          <w:sz w:val="22"/>
          <w:szCs w:val="22"/>
          <w:lang w:val="en-US"/>
        </w:rPr>
        <w:t>NON-PHARMACOLOGICAL MEASURES</w:t>
      </w:r>
    </w:p>
    <w:p w14:paraId="31F1136D" w14:textId="77777777" w:rsidR="009F5665" w:rsidRDefault="009F5665" w:rsidP="005F2054">
      <w:pPr>
        <w:pStyle w:val="NormalWeb"/>
        <w:spacing w:before="0" w:beforeAutospacing="0" w:after="0" w:afterAutospacing="0" w:line="276" w:lineRule="auto"/>
        <w:rPr>
          <w:rFonts w:ascii="Arial" w:hAnsi="Arial" w:cs="Arial"/>
          <w:sz w:val="22"/>
          <w:szCs w:val="22"/>
          <w:lang w:val="en-US"/>
        </w:rPr>
      </w:pPr>
    </w:p>
    <w:p w14:paraId="6F19EFA4" w14:textId="2E98AB51" w:rsidR="0057112D" w:rsidRDefault="00892BF1"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lastRenderedPageBreak/>
        <w:t>T</w:t>
      </w:r>
      <w:r w:rsidR="0057112D" w:rsidRPr="005F2054">
        <w:rPr>
          <w:rFonts w:ascii="Arial" w:hAnsi="Arial" w:cs="Arial"/>
          <w:sz w:val="22"/>
          <w:szCs w:val="22"/>
          <w:lang w:val="en-US"/>
        </w:rPr>
        <w:t xml:space="preserve">he general recommendations for all transplant </w:t>
      </w:r>
      <w:r w:rsidR="008F2017" w:rsidRPr="005F2054">
        <w:rPr>
          <w:rFonts w:ascii="Arial" w:hAnsi="Arial" w:cs="Arial"/>
          <w:sz w:val="22"/>
          <w:szCs w:val="22"/>
          <w:lang w:val="en-US"/>
        </w:rPr>
        <w:t>patients are as follows</w:t>
      </w:r>
      <w:r w:rsidR="0057112D" w:rsidRPr="005F2054">
        <w:rPr>
          <w:rFonts w:ascii="Arial" w:hAnsi="Arial" w:cs="Arial"/>
          <w:sz w:val="22"/>
          <w:szCs w:val="22"/>
          <w:lang w:val="en-US"/>
        </w:rPr>
        <w:t>:</w:t>
      </w:r>
    </w:p>
    <w:p w14:paraId="3234D723" w14:textId="77777777" w:rsidR="00B15162" w:rsidRPr="005F2054" w:rsidRDefault="00B15162" w:rsidP="005F2054">
      <w:pPr>
        <w:pStyle w:val="NormalWeb"/>
        <w:spacing w:before="0" w:beforeAutospacing="0" w:after="0" w:afterAutospacing="0" w:line="276" w:lineRule="auto"/>
        <w:rPr>
          <w:rFonts w:ascii="Arial" w:hAnsi="Arial" w:cs="Arial"/>
          <w:sz w:val="22"/>
          <w:szCs w:val="22"/>
          <w:lang w:val="en-US"/>
        </w:rPr>
      </w:pPr>
    </w:p>
    <w:p w14:paraId="510B607C" w14:textId="77777777" w:rsidR="0057112D" w:rsidRPr="005F2054" w:rsidRDefault="0057112D" w:rsidP="006B2482">
      <w:pPr>
        <w:pStyle w:val="NormalWeb"/>
        <w:numPr>
          <w:ilvl w:val="0"/>
          <w:numId w:val="3"/>
        </w:numPr>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Smoking cessation and reduced alcohol consumption (especially in the case of liver transplantation).</w:t>
      </w:r>
    </w:p>
    <w:p w14:paraId="3C816344" w14:textId="77777777" w:rsidR="0057112D" w:rsidRPr="005F2054" w:rsidRDefault="0057112D" w:rsidP="006B2482">
      <w:pPr>
        <w:pStyle w:val="NormalWeb"/>
        <w:numPr>
          <w:ilvl w:val="0"/>
          <w:numId w:val="3"/>
        </w:numPr>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Limiting caffeine intake to fewer than 1–2 caffeinated beverages per day.</w:t>
      </w:r>
    </w:p>
    <w:p w14:paraId="4ACA08F6" w14:textId="5457D34B" w:rsidR="0057112D" w:rsidRPr="005F2054" w:rsidRDefault="0057112D" w:rsidP="006B2482">
      <w:pPr>
        <w:pStyle w:val="NormalWeb"/>
        <w:numPr>
          <w:ilvl w:val="0"/>
          <w:numId w:val="3"/>
        </w:numPr>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Nutritional assessment to identify patients at risk of malnutrition or those with established </w:t>
      </w:r>
      <w:r w:rsidR="008F2017" w:rsidRPr="005F2054">
        <w:rPr>
          <w:rFonts w:ascii="Arial" w:hAnsi="Arial" w:cs="Arial"/>
          <w:sz w:val="22"/>
          <w:szCs w:val="22"/>
          <w:lang w:val="en-US"/>
        </w:rPr>
        <w:t>malnutrition, enabling appropriate dietary modifications and initiation of nutritional supplementation if needed. It is also crucial to ensure adequate protein intake, as this helps minimize bone loss, particularly in patients with prior hip fractures</w:t>
      </w:r>
      <w:r w:rsidRPr="005F2054">
        <w:rPr>
          <w:rFonts w:ascii="Arial" w:hAnsi="Arial" w:cs="Arial"/>
          <w:sz w:val="22"/>
          <w:szCs w:val="22"/>
          <w:lang w:val="en-US"/>
        </w:rPr>
        <w:t>.</w:t>
      </w:r>
    </w:p>
    <w:p w14:paraId="43C6965D" w14:textId="6C0137AD" w:rsidR="0057112D" w:rsidRPr="005F2054" w:rsidRDefault="0057112D" w:rsidP="006B2482">
      <w:pPr>
        <w:pStyle w:val="NormalWeb"/>
        <w:numPr>
          <w:ilvl w:val="0"/>
          <w:numId w:val="3"/>
        </w:numPr>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Avoidance of prolonged immobilization due to the association between sarcopenia, increased risk of falls, and bone fractures. </w:t>
      </w:r>
      <w:r w:rsidR="008F2017" w:rsidRPr="005F2054">
        <w:rPr>
          <w:rFonts w:ascii="Arial" w:hAnsi="Arial" w:cs="Arial"/>
          <w:sz w:val="22"/>
          <w:szCs w:val="22"/>
          <w:lang w:val="en-US"/>
        </w:rPr>
        <w:t>Physical exercise is strongly recommended, including</w:t>
      </w:r>
      <w:r w:rsidRPr="005F2054">
        <w:rPr>
          <w:rFonts w:ascii="Arial" w:hAnsi="Arial" w:cs="Arial"/>
          <w:sz w:val="22"/>
          <w:szCs w:val="22"/>
          <w:lang w:val="en-US"/>
        </w:rPr>
        <w:t>:</w:t>
      </w:r>
    </w:p>
    <w:p w14:paraId="34835530" w14:textId="77777777" w:rsidR="0057112D" w:rsidRPr="005F2054" w:rsidRDefault="0057112D" w:rsidP="006B2482">
      <w:pPr>
        <w:pStyle w:val="NormalWeb"/>
        <w:numPr>
          <w:ilvl w:val="1"/>
          <w:numId w:val="3"/>
        </w:numPr>
        <w:spacing w:before="0" w:beforeAutospacing="0" w:after="0" w:afterAutospacing="0" w:line="276" w:lineRule="auto"/>
        <w:ind w:left="720" w:hanging="720"/>
        <w:rPr>
          <w:rFonts w:ascii="Arial" w:hAnsi="Arial" w:cs="Arial"/>
          <w:sz w:val="22"/>
          <w:szCs w:val="22"/>
          <w:lang w:val="en-US"/>
        </w:rPr>
      </w:pPr>
      <w:r w:rsidRPr="005F2054">
        <w:rPr>
          <w:rFonts w:ascii="Arial" w:hAnsi="Arial" w:cs="Arial"/>
          <w:sz w:val="22"/>
          <w:szCs w:val="22"/>
          <w:lang w:val="en-US"/>
        </w:rPr>
        <w:t>A 30- to 40-minute walk per session (3 to 4 times per week).</w:t>
      </w:r>
    </w:p>
    <w:p w14:paraId="2D67DF64" w14:textId="77777777" w:rsidR="0057112D" w:rsidRPr="005F2054" w:rsidRDefault="0057112D" w:rsidP="006B2482">
      <w:pPr>
        <w:pStyle w:val="NormalWeb"/>
        <w:numPr>
          <w:ilvl w:val="1"/>
          <w:numId w:val="3"/>
        </w:numPr>
        <w:spacing w:before="0" w:beforeAutospacing="0" w:after="0" w:afterAutospacing="0" w:line="276" w:lineRule="auto"/>
        <w:ind w:left="720" w:hanging="720"/>
        <w:rPr>
          <w:rFonts w:ascii="Arial" w:hAnsi="Arial" w:cs="Arial"/>
          <w:sz w:val="22"/>
          <w:szCs w:val="22"/>
          <w:lang w:val="en-US"/>
        </w:rPr>
      </w:pPr>
      <w:r w:rsidRPr="005F2054">
        <w:rPr>
          <w:rFonts w:ascii="Arial" w:hAnsi="Arial" w:cs="Arial"/>
          <w:sz w:val="22"/>
          <w:szCs w:val="22"/>
          <w:lang w:val="en-US"/>
        </w:rPr>
        <w:t>Back and postural exercises for a few minutes per day (3 to 4 times per week).</w:t>
      </w:r>
    </w:p>
    <w:p w14:paraId="04F1C7B6" w14:textId="77777777" w:rsidR="0057112D" w:rsidRPr="005F2054" w:rsidRDefault="0057112D" w:rsidP="006B2482">
      <w:pPr>
        <w:pStyle w:val="NormalWeb"/>
        <w:numPr>
          <w:ilvl w:val="1"/>
          <w:numId w:val="3"/>
        </w:numPr>
        <w:spacing w:before="0" w:beforeAutospacing="0" w:after="0" w:afterAutospacing="0" w:line="276" w:lineRule="auto"/>
        <w:ind w:left="720" w:hanging="720"/>
        <w:rPr>
          <w:rFonts w:ascii="Arial" w:hAnsi="Arial" w:cs="Arial"/>
          <w:sz w:val="22"/>
          <w:szCs w:val="22"/>
          <w:lang w:val="en-US"/>
        </w:rPr>
      </w:pPr>
      <w:r w:rsidRPr="005F2054">
        <w:rPr>
          <w:rFonts w:ascii="Arial" w:hAnsi="Arial" w:cs="Arial"/>
          <w:sz w:val="22"/>
          <w:szCs w:val="22"/>
          <w:lang w:val="en-US"/>
        </w:rPr>
        <w:t>Strength training exercises.</w:t>
      </w:r>
    </w:p>
    <w:p w14:paraId="450B6E1C" w14:textId="69D68B11" w:rsidR="0057112D" w:rsidRDefault="0057112D" w:rsidP="001B4A3B">
      <w:pPr>
        <w:pStyle w:val="NormalWeb"/>
        <w:numPr>
          <w:ilvl w:val="0"/>
          <w:numId w:val="3"/>
        </w:numPr>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Implementation of </w:t>
      </w:r>
      <w:r w:rsidR="008F2017" w:rsidRPr="005F2054">
        <w:rPr>
          <w:rFonts w:ascii="Arial" w:hAnsi="Arial" w:cs="Arial"/>
          <w:sz w:val="22"/>
          <w:szCs w:val="22"/>
          <w:lang w:val="en-US"/>
        </w:rPr>
        <w:t>fall prevention measures</w:t>
      </w:r>
      <w:r w:rsidRPr="005F2054">
        <w:rPr>
          <w:rFonts w:ascii="Arial" w:hAnsi="Arial" w:cs="Arial"/>
          <w:sz w:val="22"/>
          <w:szCs w:val="22"/>
          <w:lang w:val="en-US"/>
        </w:rPr>
        <w:t>, both at home and outdoors.</w:t>
      </w:r>
    </w:p>
    <w:p w14:paraId="768B2B1E" w14:textId="77777777" w:rsidR="00B15162" w:rsidRPr="005F2054" w:rsidRDefault="00B15162" w:rsidP="001B4A3B">
      <w:pPr>
        <w:pStyle w:val="NormalWeb"/>
        <w:spacing w:before="0" w:beforeAutospacing="0" w:after="0" w:afterAutospacing="0" w:line="276" w:lineRule="auto"/>
        <w:rPr>
          <w:rFonts w:ascii="Arial" w:hAnsi="Arial" w:cs="Arial"/>
          <w:sz w:val="22"/>
          <w:szCs w:val="22"/>
          <w:lang w:val="en-US"/>
        </w:rPr>
      </w:pPr>
    </w:p>
    <w:p w14:paraId="628C1232" w14:textId="2D38FD27" w:rsidR="0057112D" w:rsidRPr="00B15162" w:rsidRDefault="0057112D"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Finally, to optimize bone metabolism in transplant patients and reduce the risk of developing osteoporosis, it is recommended to appropriately adjust the doses of steroids </w:t>
      </w:r>
      <w:r w:rsidR="008F2017" w:rsidRPr="005F2054">
        <w:rPr>
          <w:rFonts w:ascii="Arial" w:hAnsi="Arial" w:cs="Arial"/>
          <w:sz w:val="22"/>
          <w:szCs w:val="22"/>
          <w:lang w:val="en-US"/>
        </w:rPr>
        <w:t xml:space="preserve">and </w:t>
      </w:r>
      <w:r w:rsidRPr="005F2054">
        <w:rPr>
          <w:rFonts w:ascii="Arial" w:hAnsi="Arial" w:cs="Arial"/>
          <w:sz w:val="22"/>
          <w:szCs w:val="22"/>
          <w:lang w:val="en-US"/>
        </w:rPr>
        <w:t>immunosuppressants (maintaining these drugs within the therapeutic range and avoiding overdosing</w:t>
      </w:r>
      <w:r w:rsidRPr="00B15162">
        <w:rPr>
          <w:rFonts w:ascii="Arial" w:hAnsi="Arial" w:cs="Arial"/>
          <w:sz w:val="22"/>
          <w:szCs w:val="22"/>
          <w:lang w:val="en-US"/>
        </w:rPr>
        <w:t xml:space="preserve">) </w:t>
      </w:r>
      <w:bookmarkStart w:id="7" w:name="_Hlk192330085"/>
      <w:r w:rsidR="0028199F" w:rsidRPr="00B15162">
        <w:rPr>
          <w:rFonts w:ascii="Arial" w:hAnsi="Arial" w:cs="Arial"/>
          <w:sz w:val="22"/>
          <w:szCs w:val="22"/>
          <w:lang w:val="en-US"/>
        </w:rPr>
        <w:t>(8</w:t>
      </w:r>
      <w:r w:rsidR="00D52EAB" w:rsidRPr="00B15162">
        <w:rPr>
          <w:rFonts w:ascii="Arial" w:hAnsi="Arial" w:cs="Arial"/>
          <w:sz w:val="22"/>
          <w:szCs w:val="22"/>
          <w:lang w:val="en-US"/>
        </w:rPr>
        <w:t>3</w:t>
      </w:r>
      <w:r w:rsidR="0028199F" w:rsidRPr="00B15162">
        <w:rPr>
          <w:rFonts w:ascii="Arial" w:hAnsi="Arial" w:cs="Arial"/>
          <w:sz w:val="22"/>
          <w:szCs w:val="22"/>
          <w:lang w:val="en-US"/>
        </w:rPr>
        <w:t>)</w:t>
      </w:r>
      <w:r w:rsidRPr="00B15162">
        <w:rPr>
          <w:rFonts w:ascii="Arial" w:hAnsi="Arial" w:cs="Arial"/>
          <w:sz w:val="22"/>
          <w:szCs w:val="22"/>
          <w:lang w:val="en-US"/>
        </w:rPr>
        <w:t>.</w:t>
      </w:r>
      <w:bookmarkEnd w:id="7"/>
    </w:p>
    <w:p w14:paraId="7E549742" w14:textId="77777777" w:rsidR="008F2017" w:rsidRPr="005F2054" w:rsidRDefault="008F2017" w:rsidP="005F2054">
      <w:pPr>
        <w:pStyle w:val="NormalWeb"/>
        <w:spacing w:before="0" w:beforeAutospacing="0" w:after="0" w:afterAutospacing="0" w:line="276" w:lineRule="auto"/>
        <w:rPr>
          <w:rFonts w:ascii="Arial" w:hAnsi="Arial" w:cs="Arial"/>
          <w:b/>
          <w:bCs/>
          <w:color w:val="C00000"/>
          <w:sz w:val="22"/>
          <w:szCs w:val="22"/>
          <w:lang w:val="en-US"/>
        </w:rPr>
      </w:pPr>
    </w:p>
    <w:p w14:paraId="2DE4B09D" w14:textId="1EE1DCB2" w:rsidR="0057112D" w:rsidRPr="00B15162" w:rsidRDefault="003A0268" w:rsidP="005F2054">
      <w:pPr>
        <w:pStyle w:val="NormalWeb"/>
        <w:spacing w:before="0" w:beforeAutospacing="0" w:after="0" w:afterAutospacing="0" w:line="276" w:lineRule="auto"/>
        <w:rPr>
          <w:rFonts w:ascii="Arial" w:hAnsi="Arial" w:cs="Arial"/>
          <w:color w:val="C00000"/>
          <w:sz w:val="22"/>
          <w:szCs w:val="22"/>
          <w:lang w:val="en-US"/>
        </w:rPr>
      </w:pPr>
      <w:r w:rsidRPr="00B15162">
        <w:rPr>
          <w:rFonts w:ascii="Arial" w:hAnsi="Arial" w:cs="Arial"/>
          <w:color w:val="C00000"/>
          <w:sz w:val="22"/>
          <w:szCs w:val="22"/>
          <w:lang w:val="en-US"/>
        </w:rPr>
        <w:t>CALCIUM AND VITAMIN D SUPPLEMENTATION</w:t>
      </w:r>
    </w:p>
    <w:p w14:paraId="0484522B" w14:textId="77777777" w:rsidR="00B15162" w:rsidRDefault="00B15162" w:rsidP="005F2054">
      <w:pPr>
        <w:pStyle w:val="NormalWeb"/>
        <w:spacing w:before="0" w:beforeAutospacing="0" w:after="0" w:afterAutospacing="0" w:line="276" w:lineRule="auto"/>
        <w:rPr>
          <w:rFonts w:ascii="Arial" w:hAnsi="Arial" w:cs="Arial"/>
          <w:sz w:val="22"/>
          <w:szCs w:val="22"/>
          <w:lang w:val="en-US"/>
        </w:rPr>
      </w:pPr>
    </w:p>
    <w:p w14:paraId="21C67993" w14:textId="39685183" w:rsidR="0057112D" w:rsidRDefault="00F600C0"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Although conclusive data </w:t>
      </w:r>
      <w:r w:rsidR="001B4A3B">
        <w:rPr>
          <w:rFonts w:ascii="Arial" w:hAnsi="Arial" w:cs="Arial"/>
          <w:sz w:val="22"/>
          <w:szCs w:val="22"/>
          <w:lang w:val="en-US"/>
        </w:rPr>
        <w:t>i</w:t>
      </w:r>
      <w:r w:rsidRPr="005F2054">
        <w:rPr>
          <w:rFonts w:ascii="Arial" w:hAnsi="Arial" w:cs="Arial"/>
          <w:sz w:val="22"/>
          <w:szCs w:val="22"/>
          <w:lang w:val="en-US"/>
        </w:rPr>
        <w:t xml:space="preserve">n patients with solid organ transplantation is lacking, it is recommended to achieve and maintain normal levels of calcium and vitamin D, with supplementation provided if necessary. Vitamin D deficiency is particularly common in transplant recipients, making supplementation especially important for these patients. The </w:t>
      </w:r>
      <w:r w:rsidRPr="00B15162">
        <w:rPr>
          <w:rFonts w:ascii="Arial" w:hAnsi="Arial" w:cs="Arial"/>
          <w:sz w:val="22"/>
          <w:szCs w:val="22"/>
          <w:lang w:val="en-US"/>
        </w:rPr>
        <w:t xml:space="preserve">recommended daily intake of calcium ranges from 1000 to 1200 mg, depending on age and sex </w:t>
      </w:r>
      <w:r w:rsidR="0028199F" w:rsidRPr="00B15162">
        <w:rPr>
          <w:rFonts w:ascii="Arial" w:hAnsi="Arial" w:cs="Arial"/>
          <w:sz w:val="22"/>
          <w:szCs w:val="22"/>
          <w:lang w:val="en-US"/>
        </w:rPr>
        <w:t>(8</w:t>
      </w:r>
      <w:r w:rsidR="00D52EAB" w:rsidRPr="00B15162">
        <w:rPr>
          <w:rFonts w:ascii="Arial" w:hAnsi="Arial" w:cs="Arial"/>
          <w:sz w:val="22"/>
          <w:szCs w:val="22"/>
          <w:lang w:val="en-US"/>
        </w:rPr>
        <w:t>4</w:t>
      </w:r>
      <w:r w:rsidR="0028199F" w:rsidRPr="00B15162">
        <w:rPr>
          <w:rFonts w:ascii="Arial" w:hAnsi="Arial" w:cs="Arial"/>
          <w:sz w:val="22"/>
          <w:szCs w:val="22"/>
          <w:lang w:val="en-US"/>
        </w:rPr>
        <w:t>).</w:t>
      </w:r>
      <w:r w:rsidR="0057112D" w:rsidRPr="00B15162">
        <w:rPr>
          <w:rFonts w:ascii="Arial" w:hAnsi="Arial" w:cs="Arial"/>
          <w:sz w:val="22"/>
          <w:szCs w:val="22"/>
          <w:lang w:val="en-US"/>
        </w:rPr>
        <w:t xml:space="preserve"> </w:t>
      </w:r>
      <w:r w:rsidRPr="00B15162">
        <w:rPr>
          <w:rFonts w:ascii="Arial" w:hAnsi="Arial" w:cs="Arial"/>
          <w:sz w:val="22"/>
          <w:szCs w:val="22"/>
          <w:lang w:val="en-US"/>
        </w:rPr>
        <w:t xml:space="preserve">If </w:t>
      </w:r>
      <w:r w:rsidRPr="005F2054">
        <w:rPr>
          <w:rFonts w:ascii="Arial" w:hAnsi="Arial" w:cs="Arial"/>
          <w:sz w:val="22"/>
          <w:szCs w:val="22"/>
          <w:lang w:val="en-US"/>
        </w:rPr>
        <w:t xml:space="preserve">dietary calcium intake is insufficient, supplementation should be considered. Vitamin D deficiency leads to inefficient absorption of dietary calcium and phosphorus, as well as secondary hyperparathyroidism, which can impair bone mineralization. An optimal 25(OH)D level of &gt;30 ng/mL is recommended, </w:t>
      </w:r>
      <w:proofErr w:type="gramStart"/>
      <w:r w:rsidRPr="005F2054">
        <w:rPr>
          <w:rFonts w:ascii="Arial" w:hAnsi="Arial" w:cs="Arial"/>
          <w:sz w:val="22"/>
          <w:szCs w:val="22"/>
          <w:lang w:val="en-US"/>
        </w:rPr>
        <w:t>similar to</w:t>
      </w:r>
      <w:proofErr w:type="gramEnd"/>
      <w:r w:rsidRPr="005F2054">
        <w:rPr>
          <w:rFonts w:ascii="Arial" w:hAnsi="Arial" w:cs="Arial"/>
          <w:sz w:val="22"/>
          <w:szCs w:val="22"/>
          <w:lang w:val="en-US"/>
        </w:rPr>
        <w:t xml:space="preserve"> the target for steroid-induced osteoporosis</w:t>
      </w:r>
      <w:r w:rsidR="0057112D" w:rsidRPr="005F2054">
        <w:rPr>
          <w:rFonts w:ascii="Arial" w:hAnsi="Arial" w:cs="Arial"/>
          <w:sz w:val="22"/>
          <w:szCs w:val="22"/>
          <w:lang w:val="en-US"/>
        </w:rPr>
        <w:t>.</w:t>
      </w:r>
    </w:p>
    <w:p w14:paraId="30AF9DC0" w14:textId="77777777" w:rsidR="00B15162" w:rsidRPr="005F2054" w:rsidRDefault="00B15162" w:rsidP="005F2054">
      <w:pPr>
        <w:pStyle w:val="NormalWeb"/>
        <w:spacing w:before="0" w:beforeAutospacing="0" w:after="0" w:afterAutospacing="0" w:line="276" w:lineRule="auto"/>
        <w:rPr>
          <w:rFonts w:ascii="Arial" w:hAnsi="Arial" w:cs="Arial"/>
          <w:sz w:val="22"/>
          <w:szCs w:val="22"/>
          <w:lang w:val="en-US"/>
        </w:rPr>
      </w:pPr>
    </w:p>
    <w:p w14:paraId="15E08A2A" w14:textId="26ED87F2" w:rsidR="0016362C" w:rsidRDefault="00FB4268"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A study involving pre-renal transplant recipients found that cholecalciferol supplementation with vitamin D and calcium, did not lead to a significant improvement in BMD compared to calcium supplementation alone</w:t>
      </w:r>
      <w:r w:rsidR="00D52EAB" w:rsidRPr="00B15162">
        <w:rPr>
          <w:rFonts w:ascii="Arial" w:hAnsi="Arial" w:cs="Arial"/>
          <w:sz w:val="22"/>
          <w:szCs w:val="22"/>
          <w:lang w:val="en-US"/>
        </w:rPr>
        <w:t xml:space="preserve"> (</w:t>
      </w:r>
      <w:r w:rsidR="00651F9A" w:rsidRPr="00B15162">
        <w:rPr>
          <w:rFonts w:ascii="Arial" w:hAnsi="Arial" w:cs="Arial"/>
          <w:sz w:val="22"/>
          <w:szCs w:val="22"/>
          <w:lang w:val="en-US"/>
        </w:rPr>
        <w:t>85</w:t>
      </w:r>
      <w:r w:rsidR="00D52EAB" w:rsidRPr="00B15162">
        <w:rPr>
          <w:rFonts w:ascii="Arial" w:hAnsi="Arial" w:cs="Arial"/>
          <w:sz w:val="22"/>
          <w:szCs w:val="22"/>
          <w:lang w:val="en-US"/>
        </w:rPr>
        <w:t>)</w:t>
      </w:r>
      <w:r w:rsidR="00A70E31" w:rsidRPr="00B15162">
        <w:rPr>
          <w:rFonts w:ascii="Arial" w:hAnsi="Arial" w:cs="Arial"/>
          <w:sz w:val="22"/>
          <w:szCs w:val="22"/>
          <w:lang w:val="en-US"/>
        </w:rPr>
        <w:t>.</w:t>
      </w:r>
      <w:r w:rsidR="00C65DEB" w:rsidRPr="00B15162">
        <w:rPr>
          <w:rFonts w:ascii="Arial" w:hAnsi="Arial" w:cs="Arial"/>
          <w:sz w:val="22"/>
          <w:szCs w:val="22"/>
          <w:lang w:val="en-US"/>
        </w:rPr>
        <w:t xml:space="preserve"> </w:t>
      </w:r>
      <w:r w:rsidR="0016362C" w:rsidRPr="00B15162">
        <w:rPr>
          <w:rFonts w:ascii="Arial" w:hAnsi="Arial" w:cs="Arial"/>
          <w:sz w:val="22"/>
          <w:szCs w:val="22"/>
          <w:lang w:val="en-US"/>
        </w:rPr>
        <w:t xml:space="preserve">However, a recent study in renal transplant patients showed that taking 4000 IU/day of cholecalciferol for one year reduced lumbar BMD </w:t>
      </w:r>
      <w:r w:rsidR="00F600C0" w:rsidRPr="00B15162">
        <w:rPr>
          <w:rFonts w:ascii="Arial" w:hAnsi="Arial" w:cs="Arial"/>
          <w:sz w:val="22"/>
          <w:szCs w:val="22"/>
          <w:lang w:val="en-US"/>
        </w:rPr>
        <w:t xml:space="preserve">loss </w:t>
      </w:r>
      <w:r w:rsidR="0016362C" w:rsidRPr="00B15162">
        <w:rPr>
          <w:rFonts w:ascii="Arial" w:hAnsi="Arial" w:cs="Arial"/>
          <w:sz w:val="22"/>
          <w:szCs w:val="22"/>
          <w:lang w:val="en-US"/>
        </w:rPr>
        <w:t xml:space="preserve">compared to placebo (percentage change in BMD: −0.2% with cholecalciferol vs. −1.9% with placebo). The positive </w:t>
      </w:r>
      <w:r w:rsidR="00F600C0" w:rsidRPr="00B15162">
        <w:rPr>
          <w:rFonts w:ascii="Arial" w:hAnsi="Arial" w:cs="Arial"/>
          <w:sz w:val="22"/>
          <w:szCs w:val="22"/>
          <w:lang w:val="en-US"/>
        </w:rPr>
        <w:t xml:space="preserve">effect </w:t>
      </w:r>
      <w:r w:rsidR="0016362C" w:rsidRPr="00B15162">
        <w:rPr>
          <w:rFonts w:ascii="Arial" w:hAnsi="Arial" w:cs="Arial"/>
          <w:sz w:val="22"/>
          <w:szCs w:val="22"/>
          <w:lang w:val="en-US"/>
        </w:rPr>
        <w:t xml:space="preserve">on BMD was more pronounced in patients who had significant bone mass impairment at the beginning of treatment with more pronounced bone mass impairment at the start of treatment </w:t>
      </w:r>
      <w:r w:rsidR="00D52EAB" w:rsidRPr="00B15162">
        <w:rPr>
          <w:rFonts w:ascii="Arial" w:hAnsi="Arial" w:cs="Arial"/>
          <w:sz w:val="22"/>
          <w:szCs w:val="22"/>
          <w:lang w:val="en-US"/>
        </w:rPr>
        <w:t>(8</w:t>
      </w:r>
      <w:r w:rsidR="00DD4E1A" w:rsidRPr="00B15162">
        <w:rPr>
          <w:rFonts w:ascii="Arial" w:hAnsi="Arial" w:cs="Arial"/>
          <w:sz w:val="22"/>
          <w:szCs w:val="22"/>
          <w:lang w:val="en-US"/>
        </w:rPr>
        <w:t>6</w:t>
      </w:r>
      <w:r w:rsidR="00D52EAB" w:rsidRPr="00B15162">
        <w:rPr>
          <w:rFonts w:ascii="Arial" w:hAnsi="Arial" w:cs="Arial"/>
          <w:sz w:val="22"/>
          <w:szCs w:val="22"/>
          <w:lang w:val="en-US"/>
        </w:rPr>
        <w:t>)</w:t>
      </w:r>
    </w:p>
    <w:p w14:paraId="7A5134DA"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433292CA" w14:textId="072BC80D" w:rsidR="00B15162" w:rsidRPr="00B15162" w:rsidRDefault="003A0268" w:rsidP="005F2054">
      <w:pPr>
        <w:pStyle w:val="NormalWeb"/>
        <w:spacing w:before="0" w:beforeAutospacing="0" w:after="0" w:afterAutospacing="0" w:line="276" w:lineRule="auto"/>
        <w:rPr>
          <w:rFonts w:ascii="Arial" w:hAnsi="Arial" w:cs="Arial"/>
          <w:sz w:val="22"/>
          <w:szCs w:val="22"/>
          <w:lang w:val="en-US"/>
        </w:rPr>
      </w:pPr>
      <w:r w:rsidRPr="00B15162">
        <w:rPr>
          <w:rFonts w:ascii="Arial" w:hAnsi="Arial" w:cs="Arial"/>
          <w:color w:val="C00000"/>
          <w:sz w:val="22"/>
          <w:szCs w:val="22"/>
          <w:lang w:val="en-US"/>
        </w:rPr>
        <w:t>CALCITRIOL, PARACALCITOL, ALFACALCIDOL</w:t>
      </w:r>
      <w:r w:rsidRPr="00B15162">
        <w:rPr>
          <w:rFonts w:ascii="Arial" w:hAnsi="Arial" w:cs="Arial"/>
          <w:sz w:val="22"/>
          <w:szCs w:val="22"/>
          <w:lang w:val="en-US"/>
        </w:rPr>
        <w:t xml:space="preserve"> </w:t>
      </w:r>
    </w:p>
    <w:p w14:paraId="67D535FF"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50CE88DF" w14:textId="06362FD2" w:rsidR="00E35EB8" w:rsidRDefault="00F600C0"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Calcitriol is the active form of vitamin D, while paricalcitol and </w:t>
      </w:r>
      <w:proofErr w:type="spellStart"/>
      <w:r w:rsidRPr="005F2054">
        <w:rPr>
          <w:rFonts w:ascii="Arial" w:hAnsi="Arial" w:cs="Arial"/>
          <w:sz w:val="22"/>
          <w:szCs w:val="22"/>
          <w:lang w:val="en-US"/>
        </w:rPr>
        <w:t>alfacalcidol</w:t>
      </w:r>
      <w:proofErr w:type="spellEnd"/>
      <w:r w:rsidRPr="005F2054">
        <w:rPr>
          <w:rFonts w:ascii="Arial" w:hAnsi="Arial" w:cs="Arial"/>
          <w:sz w:val="22"/>
          <w:szCs w:val="22"/>
          <w:lang w:val="en-US"/>
        </w:rPr>
        <w:t xml:space="preserve"> are synthetic analogs of vitamin D. It has been demonstrated that these compounds reduce or stabilize </w:t>
      </w:r>
      <w:r w:rsidRPr="005F2054">
        <w:rPr>
          <w:rFonts w:ascii="Arial" w:hAnsi="Arial" w:cs="Arial"/>
          <w:sz w:val="22"/>
          <w:szCs w:val="22"/>
          <w:lang w:val="en-US"/>
        </w:rPr>
        <w:lastRenderedPageBreak/>
        <w:t>parathyroid hormone (PTH) levels and improve bone histology post-</w:t>
      </w:r>
      <w:r w:rsidRPr="00B15162">
        <w:rPr>
          <w:rFonts w:ascii="Arial" w:hAnsi="Arial" w:cs="Arial"/>
          <w:sz w:val="22"/>
          <w:szCs w:val="22"/>
          <w:lang w:val="en-US"/>
        </w:rPr>
        <w:t xml:space="preserve">transplantation </w:t>
      </w:r>
      <w:r w:rsidRPr="00B15162">
        <w:rPr>
          <w:rFonts w:ascii="Arial" w:hAnsi="Arial" w:cs="Arial"/>
          <w:sz w:val="22"/>
          <w:szCs w:val="22"/>
          <w:lang w:val="en-GB"/>
        </w:rPr>
        <w:t xml:space="preserve">(84,86). </w:t>
      </w:r>
      <w:r w:rsidRPr="005F2054">
        <w:rPr>
          <w:rFonts w:ascii="Arial" w:hAnsi="Arial" w:cs="Arial"/>
          <w:sz w:val="22"/>
          <w:szCs w:val="22"/>
          <w:lang w:val="en-US"/>
        </w:rPr>
        <w:t>Their use has been proposed as a preventive treatment for osteoporosis in transplant patients who may have contraindications to or intolerance of bisphosphonates</w:t>
      </w:r>
      <w:r w:rsidR="0057112D" w:rsidRPr="005F2054">
        <w:rPr>
          <w:rFonts w:ascii="Arial" w:hAnsi="Arial" w:cs="Arial"/>
          <w:sz w:val="22"/>
          <w:szCs w:val="22"/>
          <w:lang w:val="en-US"/>
        </w:rPr>
        <w:t>.</w:t>
      </w:r>
      <w:r w:rsidR="00E35EB8" w:rsidRPr="005F2054">
        <w:rPr>
          <w:rFonts w:ascii="Arial" w:hAnsi="Arial" w:cs="Arial"/>
          <w:sz w:val="22"/>
          <w:szCs w:val="22"/>
          <w:lang w:val="en-US"/>
        </w:rPr>
        <w:t xml:space="preserve"> </w:t>
      </w:r>
    </w:p>
    <w:p w14:paraId="0DA7238F" w14:textId="77777777" w:rsidR="00B15162" w:rsidRPr="005F2054" w:rsidRDefault="00B15162" w:rsidP="005F2054">
      <w:pPr>
        <w:pStyle w:val="NormalWeb"/>
        <w:spacing w:before="0" w:beforeAutospacing="0" w:after="0" w:afterAutospacing="0" w:line="276" w:lineRule="auto"/>
        <w:rPr>
          <w:rFonts w:ascii="Arial" w:hAnsi="Arial" w:cs="Arial"/>
          <w:sz w:val="22"/>
          <w:szCs w:val="22"/>
          <w:lang w:val="en-US"/>
        </w:rPr>
      </w:pPr>
    </w:p>
    <w:p w14:paraId="474403F0" w14:textId="7EC2CBE4" w:rsidR="007E085E" w:rsidRPr="00B15162" w:rsidRDefault="00F600C0"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In heart transplantation, a clinical trial comparing alendronate and calcitriol over one year demonstrated that calcitriol significantly reduced bone mass loss in the lumbar spine and femoral neck, with no significant differences between the bisphosphonate and calcitriol </w:t>
      </w:r>
      <w:r w:rsidRPr="00B15162">
        <w:rPr>
          <w:rFonts w:ascii="Arial" w:hAnsi="Arial" w:cs="Arial"/>
          <w:sz w:val="22"/>
          <w:szCs w:val="22"/>
          <w:lang w:val="en-US"/>
        </w:rPr>
        <w:t xml:space="preserve">groups </w:t>
      </w:r>
      <w:r w:rsidRPr="00B15162">
        <w:rPr>
          <w:rFonts w:ascii="Arial" w:hAnsi="Arial" w:cs="Arial"/>
          <w:sz w:val="22"/>
          <w:szCs w:val="22"/>
          <w:lang w:val="en-GB"/>
        </w:rPr>
        <w:t xml:space="preserve">(87).  </w:t>
      </w:r>
      <w:r w:rsidRPr="00B15162">
        <w:rPr>
          <w:rFonts w:ascii="Arial" w:hAnsi="Arial" w:cs="Arial"/>
          <w:sz w:val="22"/>
          <w:szCs w:val="22"/>
          <w:lang w:val="en-US"/>
        </w:rPr>
        <w:t xml:space="preserve">In </w:t>
      </w:r>
      <w:r w:rsidRPr="005F2054">
        <w:rPr>
          <w:rFonts w:ascii="Arial" w:hAnsi="Arial" w:cs="Arial"/>
          <w:sz w:val="22"/>
          <w:szCs w:val="22"/>
          <w:lang w:val="en-US"/>
        </w:rPr>
        <w:t xml:space="preserve">renal transplant patients with secondary hyperparathyroidism, supplementation with paricalcitol for six months was associated with reductions in PTH levels and proteinuria, as well as an improvement in bone </w:t>
      </w:r>
      <w:r w:rsidRPr="00B15162">
        <w:rPr>
          <w:rFonts w:ascii="Arial" w:hAnsi="Arial" w:cs="Arial"/>
          <w:sz w:val="22"/>
          <w:szCs w:val="22"/>
          <w:lang w:val="en-US"/>
        </w:rPr>
        <w:t>mass loss</w:t>
      </w:r>
      <w:r w:rsidR="0057112D" w:rsidRPr="00B15162">
        <w:rPr>
          <w:rFonts w:ascii="Arial" w:hAnsi="Arial" w:cs="Arial"/>
          <w:sz w:val="22"/>
          <w:szCs w:val="22"/>
          <w:lang w:val="en-US"/>
        </w:rPr>
        <w:t xml:space="preserve"> </w:t>
      </w:r>
      <w:r w:rsidR="007D3EEB" w:rsidRPr="00B15162">
        <w:rPr>
          <w:rFonts w:ascii="Arial" w:hAnsi="Arial" w:cs="Arial"/>
          <w:sz w:val="22"/>
          <w:szCs w:val="22"/>
          <w:lang w:val="en-US"/>
        </w:rPr>
        <w:t>(88).</w:t>
      </w:r>
      <w:r w:rsidR="00FE4806" w:rsidRPr="00B15162">
        <w:rPr>
          <w:rFonts w:ascii="Arial" w:hAnsi="Arial" w:cs="Arial"/>
          <w:sz w:val="22"/>
          <w:szCs w:val="22"/>
          <w:lang w:val="en-US"/>
        </w:rPr>
        <w:t xml:space="preserve"> </w:t>
      </w:r>
    </w:p>
    <w:p w14:paraId="44AAFA8A"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3EB72A86" w14:textId="29BA6F2F" w:rsidR="00F40593" w:rsidRDefault="00F600C0" w:rsidP="005F2054">
      <w:pPr>
        <w:pStyle w:val="NormalWeb"/>
        <w:spacing w:before="0" w:beforeAutospacing="0" w:after="0" w:afterAutospacing="0" w:line="276" w:lineRule="auto"/>
        <w:rPr>
          <w:rFonts w:ascii="Arial" w:hAnsi="Arial" w:cs="Arial"/>
          <w:sz w:val="22"/>
          <w:szCs w:val="22"/>
          <w:lang w:val="en-US"/>
        </w:rPr>
      </w:pPr>
      <w:r w:rsidRPr="00B15162">
        <w:rPr>
          <w:rFonts w:ascii="Arial" w:hAnsi="Arial" w:cs="Arial"/>
          <w:sz w:val="22"/>
          <w:szCs w:val="22"/>
          <w:lang w:val="en-US"/>
        </w:rPr>
        <w:t>A meta-analysis demonstrated a reduction in vertebral fractures with bisphosphonates or calcitriol during the first year of administration in solid organ transplant recipients</w:t>
      </w:r>
      <w:r w:rsidR="00F40593" w:rsidRPr="00B15162">
        <w:rPr>
          <w:rFonts w:ascii="Arial" w:hAnsi="Arial" w:cs="Arial"/>
          <w:sz w:val="22"/>
          <w:szCs w:val="22"/>
          <w:lang w:val="en-US"/>
        </w:rPr>
        <w:t xml:space="preserve"> (</w:t>
      </w:r>
      <w:r w:rsidR="00286B5F" w:rsidRPr="00B15162">
        <w:rPr>
          <w:rFonts w:ascii="Arial" w:hAnsi="Arial" w:cs="Arial"/>
          <w:sz w:val="22"/>
          <w:szCs w:val="22"/>
          <w:lang w:val="en-US"/>
        </w:rPr>
        <w:t>89</w:t>
      </w:r>
      <w:r w:rsidR="007D3EEB" w:rsidRPr="00B15162">
        <w:rPr>
          <w:rFonts w:ascii="Arial" w:hAnsi="Arial" w:cs="Arial"/>
          <w:sz w:val="22"/>
          <w:szCs w:val="22"/>
          <w:lang w:val="en-US"/>
        </w:rPr>
        <w:t>)</w:t>
      </w:r>
      <w:r w:rsidR="006C56CA" w:rsidRPr="00B15162">
        <w:rPr>
          <w:rFonts w:ascii="Arial" w:hAnsi="Arial" w:cs="Arial"/>
          <w:sz w:val="22"/>
          <w:szCs w:val="22"/>
          <w:lang w:val="en-US"/>
        </w:rPr>
        <w:t>.</w:t>
      </w:r>
      <w:r w:rsidR="00F40593" w:rsidRPr="00B15162">
        <w:rPr>
          <w:rFonts w:ascii="Arial" w:hAnsi="Arial" w:cs="Arial"/>
          <w:sz w:val="22"/>
          <w:szCs w:val="22"/>
          <w:lang w:val="en-US"/>
        </w:rPr>
        <w:t xml:space="preserve"> </w:t>
      </w:r>
      <w:r w:rsidRPr="00B15162">
        <w:rPr>
          <w:rFonts w:ascii="Arial" w:hAnsi="Arial" w:cs="Arial"/>
          <w:sz w:val="22"/>
          <w:szCs w:val="22"/>
          <w:lang w:val="en-US"/>
        </w:rPr>
        <w:t xml:space="preserve">It is important to note that this meta-analysis showed considerable heterogeneity across the </w:t>
      </w:r>
      <w:r w:rsidRPr="005F2054">
        <w:rPr>
          <w:rFonts w:ascii="Arial" w:hAnsi="Arial" w:cs="Arial"/>
          <w:sz w:val="22"/>
          <w:szCs w:val="22"/>
          <w:lang w:val="en-US"/>
        </w:rPr>
        <w:t>included studies (e.g., type of transplanted organ, type and dose of bisphosphonate used, and immunosuppressive regimen). Furthermore, only two of the eleven studies included calcitriol as the active comparator</w:t>
      </w:r>
      <w:r w:rsidR="0057112D" w:rsidRPr="005F2054">
        <w:rPr>
          <w:rFonts w:ascii="Arial" w:hAnsi="Arial" w:cs="Arial"/>
          <w:sz w:val="22"/>
          <w:szCs w:val="22"/>
          <w:lang w:val="en-US"/>
        </w:rPr>
        <w:t>.</w:t>
      </w:r>
      <w:r w:rsidR="00FE4806" w:rsidRPr="005F2054">
        <w:rPr>
          <w:rFonts w:ascii="Arial" w:hAnsi="Arial" w:cs="Arial"/>
          <w:sz w:val="22"/>
          <w:szCs w:val="22"/>
          <w:lang w:val="en-US"/>
        </w:rPr>
        <w:t xml:space="preserve"> </w:t>
      </w:r>
      <w:proofErr w:type="spellStart"/>
      <w:r w:rsidRPr="005F2054">
        <w:rPr>
          <w:rFonts w:ascii="Arial" w:hAnsi="Arial" w:cs="Arial"/>
          <w:sz w:val="22"/>
          <w:szCs w:val="22"/>
          <w:lang w:val="en-US"/>
        </w:rPr>
        <w:t>Calcidiol</w:t>
      </w:r>
      <w:proofErr w:type="spellEnd"/>
      <w:r w:rsidRPr="005F2054">
        <w:rPr>
          <w:rFonts w:ascii="Arial" w:hAnsi="Arial" w:cs="Arial"/>
          <w:sz w:val="22"/>
          <w:szCs w:val="22"/>
          <w:lang w:val="en-US"/>
        </w:rPr>
        <w:t xml:space="preserve"> was also found to be an effective therapy in 40 patients following cardiac transplantation. After 18 months of treatment, 12,000 IU weekly of </w:t>
      </w:r>
      <w:proofErr w:type="spellStart"/>
      <w:r w:rsidRPr="005F2054">
        <w:rPr>
          <w:rFonts w:ascii="Arial" w:hAnsi="Arial" w:cs="Arial"/>
          <w:sz w:val="22"/>
          <w:szCs w:val="22"/>
          <w:lang w:val="en-US"/>
        </w:rPr>
        <w:t>calcidiol</w:t>
      </w:r>
      <w:proofErr w:type="spellEnd"/>
      <w:r w:rsidRPr="005F2054">
        <w:rPr>
          <w:rFonts w:ascii="Arial" w:hAnsi="Arial" w:cs="Arial"/>
          <w:sz w:val="22"/>
          <w:szCs w:val="22"/>
          <w:lang w:val="en-US"/>
        </w:rPr>
        <w:t xml:space="preserve"> led to a 4.9% increase in lumbar BMD, compared to −1.19% and −0.19% with calcitonin and etidronate, respectively. </w:t>
      </w:r>
      <w:proofErr w:type="spellStart"/>
      <w:r w:rsidRPr="005F2054">
        <w:rPr>
          <w:rFonts w:ascii="Arial" w:hAnsi="Arial" w:cs="Arial"/>
          <w:sz w:val="22"/>
          <w:szCs w:val="22"/>
          <w:lang w:val="en-US"/>
        </w:rPr>
        <w:t>Calcidiol</w:t>
      </w:r>
      <w:proofErr w:type="spellEnd"/>
      <w:r w:rsidRPr="005F2054">
        <w:rPr>
          <w:rFonts w:ascii="Arial" w:hAnsi="Arial" w:cs="Arial"/>
          <w:sz w:val="22"/>
          <w:szCs w:val="22"/>
          <w:lang w:val="en-US"/>
        </w:rPr>
        <w:t xml:space="preserve"> causes less hypercalcemia and hypercalciuria than </w:t>
      </w:r>
      <w:r w:rsidRPr="00B15162">
        <w:rPr>
          <w:rFonts w:ascii="Arial" w:hAnsi="Arial" w:cs="Arial"/>
          <w:sz w:val="22"/>
          <w:szCs w:val="22"/>
          <w:lang w:val="en-US"/>
        </w:rPr>
        <w:t>calcitriol</w:t>
      </w:r>
      <w:r w:rsidR="00F40593" w:rsidRPr="00B15162">
        <w:rPr>
          <w:rFonts w:ascii="Arial" w:hAnsi="Arial" w:cs="Arial"/>
          <w:sz w:val="22"/>
          <w:szCs w:val="22"/>
          <w:lang w:val="en-US"/>
        </w:rPr>
        <w:t xml:space="preserve"> (</w:t>
      </w:r>
      <w:r w:rsidR="00286B5F" w:rsidRPr="00B15162">
        <w:rPr>
          <w:rFonts w:ascii="Arial" w:hAnsi="Arial" w:cs="Arial"/>
          <w:sz w:val="22"/>
          <w:szCs w:val="22"/>
          <w:lang w:val="en-US"/>
        </w:rPr>
        <w:t>90</w:t>
      </w:r>
      <w:r w:rsidR="00F40593" w:rsidRPr="00B15162">
        <w:rPr>
          <w:rFonts w:ascii="Arial" w:hAnsi="Arial" w:cs="Arial"/>
          <w:sz w:val="22"/>
          <w:szCs w:val="22"/>
          <w:lang w:val="en-US"/>
        </w:rPr>
        <w:t>).</w:t>
      </w:r>
    </w:p>
    <w:p w14:paraId="74519835"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061FFAFF" w14:textId="4D31495C" w:rsidR="0057112D" w:rsidRPr="005F2054" w:rsidRDefault="00F600C0" w:rsidP="005F2054">
      <w:pPr>
        <w:pStyle w:val="NormalWeb"/>
        <w:spacing w:before="0" w:beforeAutospacing="0" w:after="0" w:afterAutospacing="0" w:line="276" w:lineRule="auto"/>
        <w:rPr>
          <w:rFonts w:ascii="Arial" w:hAnsi="Arial" w:cs="Arial"/>
          <w:sz w:val="22"/>
          <w:szCs w:val="22"/>
          <w:lang w:val="en-US"/>
        </w:rPr>
      </w:pPr>
      <w:r w:rsidRPr="00B15162">
        <w:rPr>
          <w:rFonts w:ascii="Arial" w:hAnsi="Arial" w:cs="Arial"/>
          <w:sz w:val="22"/>
          <w:szCs w:val="22"/>
          <w:lang w:val="en-US"/>
        </w:rPr>
        <w:t xml:space="preserve">Despite their potential benefits, calcitriol </w:t>
      </w:r>
      <w:r w:rsidRPr="005F2054">
        <w:rPr>
          <w:rFonts w:ascii="Arial" w:hAnsi="Arial" w:cs="Arial"/>
          <w:sz w:val="22"/>
          <w:szCs w:val="22"/>
          <w:lang w:val="en-US"/>
        </w:rPr>
        <w:t>and synthetic analogues should be used with caution, as their use is associated with an increased risk of hypercalcemia and hypercalciuria. Therefore, periodic monitoring of serum calcium and 24-hour urinary calcium levels is recommended</w:t>
      </w:r>
      <w:r w:rsidR="0057112D" w:rsidRPr="005F2054">
        <w:rPr>
          <w:rFonts w:ascii="Arial" w:hAnsi="Arial" w:cs="Arial"/>
          <w:sz w:val="22"/>
          <w:szCs w:val="22"/>
          <w:lang w:val="en-US"/>
        </w:rPr>
        <w:t>.</w:t>
      </w:r>
    </w:p>
    <w:p w14:paraId="76D83D17" w14:textId="77777777" w:rsidR="00F600C0" w:rsidRPr="005F2054" w:rsidRDefault="00F600C0" w:rsidP="005F2054">
      <w:pPr>
        <w:pStyle w:val="NormalWeb"/>
        <w:spacing w:before="0" w:beforeAutospacing="0" w:after="0" w:afterAutospacing="0" w:line="276" w:lineRule="auto"/>
        <w:rPr>
          <w:rFonts w:ascii="Arial" w:hAnsi="Arial" w:cs="Arial"/>
          <w:b/>
          <w:bCs/>
          <w:color w:val="C00000"/>
          <w:sz w:val="22"/>
          <w:szCs w:val="22"/>
          <w:lang w:val="en-US"/>
        </w:rPr>
      </w:pPr>
    </w:p>
    <w:p w14:paraId="278464FE" w14:textId="723C1C0E" w:rsidR="00B15162" w:rsidRPr="00B15162" w:rsidRDefault="003A0268" w:rsidP="005F2054">
      <w:pPr>
        <w:pStyle w:val="NormalWeb"/>
        <w:spacing w:before="0" w:beforeAutospacing="0" w:after="0" w:afterAutospacing="0" w:line="276" w:lineRule="auto"/>
        <w:rPr>
          <w:rFonts w:ascii="Arial" w:hAnsi="Arial" w:cs="Arial"/>
          <w:color w:val="C00000"/>
          <w:sz w:val="22"/>
          <w:szCs w:val="22"/>
          <w:lang w:val="en-US"/>
        </w:rPr>
      </w:pPr>
      <w:r w:rsidRPr="00B15162">
        <w:rPr>
          <w:rFonts w:ascii="Arial" w:hAnsi="Arial" w:cs="Arial"/>
          <w:color w:val="C00000"/>
          <w:sz w:val="22"/>
          <w:szCs w:val="22"/>
          <w:lang w:val="en-US"/>
        </w:rPr>
        <w:t>BISPHOSPHONATES (BF</w:t>
      </w:r>
      <w:r w:rsidR="003A3939" w:rsidRPr="00B15162">
        <w:rPr>
          <w:rFonts w:ascii="Arial" w:hAnsi="Arial" w:cs="Arial"/>
          <w:color w:val="C00000"/>
          <w:sz w:val="22"/>
          <w:szCs w:val="22"/>
          <w:lang w:val="en-US"/>
        </w:rPr>
        <w:t>s</w:t>
      </w:r>
      <w:r w:rsidRPr="00B15162">
        <w:rPr>
          <w:rFonts w:ascii="Arial" w:hAnsi="Arial" w:cs="Arial"/>
          <w:color w:val="C00000"/>
          <w:sz w:val="22"/>
          <w:szCs w:val="22"/>
          <w:lang w:val="en-US"/>
        </w:rPr>
        <w:t xml:space="preserve">) </w:t>
      </w:r>
    </w:p>
    <w:p w14:paraId="6BC513B2" w14:textId="77777777" w:rsidR="00B15162" w:rsidRDefault="00B15162" w:rsidP="005F2054">
      <w:pPr>
        <w:pStyle w:val="NormalWeb"/>
        <w:spacing w:before="0" w:beforeAutospacing="0" w:after="0" w:afterAutospacing="0" w:line="276" w:lineRule="auto"/>
        <w:rPr>
          <w:rFonts w:ascii="Arial" w:hAnsi="Arial" w:cs="Arial"/>
          <w:b/>
          <w:bCs/>
          <w:color w:val="C00000"/>
          <w:sz w:val="22"/>
          <w:szCs w:val="22"/>
          <w:lang w:val="en-US"/>
        </w:rPr>
      </w:pPr>
    </w:p>
    <w:p w14:paraId="7A92265F" w14:textId="2C98ADC2" w:rsidR="0057112D" w:rsidRDefault="00F600C0"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These drugs have been the most widely used treatment for osteoporosis for over two decades (Table 6). They are analogs of inorganic pyrophosphate that inhibit bone resorption. B</w:t>
      </w:r>
      <w:r w:rsidR="00721D50">
        <w:rPr>
          <w:rFonts w:ascii="Arial" w:hAnsi="Arial" w:cs="Arial"/>
          <w:sz w:val="22"/>
          <w:szCs w:val="22"/>
          <w:lang w:val="en-US"/>
        </w:rPr>
        <w:t>Fs</w:t>
      </w:r>
      <w:r w:rsidRPr="005F2054">
        <w:rPr>
          <w:rFonts w:ascii="Arial" w:hAnsi="Arial" w:cs="Arial"/>
          <w:sz w:val="22"/>
          <w:szCs w:val="22"/>
          <w:lang w:val="en-US"/>
        </w:rPr>
        <w:t xml:space="preserve"> are generally safe and well-tolerated. They are the initial treatment option for both the prevention and management of post-transplant osteoporosis. Numerous studies have demonstrated improvements in bone density with </w:t>
      </w:r>
      <w:r w:rsidR="00BC4DA8" w:rsidRPr="005F2054">
        <w:rPr>
          <w:rFonts w:ascii="Arial" w:hAnsi="Arial" w:cs="Arial"/>
          <w:sz w:val="22"/>
          <w:szCs w:val="22"/>
          <w:lang w:val="en-US"/>
        </w:rPr>
        <w:t>BFs</w:t>
      </w:r>
      <w:r w:rsidRPr="005F2054">
        <w:rPr>
          <w:rFonts w:ascii="Arial" w:hAnsi="Arial" w:cs="Arial"/>
          <w:sz w:val="22"/>
          <w:szCs w:val="22"/>
          <w:lang w:val="en-US"/>
        </w:rPr>
        <w:t>; however, there is currently no specific recommendation favoring one bisphosphonate over another</w:t>
      </w:r>
      <w:r w:rsidR="00EF118E" w:rsidRPr="005F2054">
        <w:rPr>
          <w:rFonts w:ascii="Arial" w:hAnsi="Arial" w:cs="Arial"/>
          <w:sz w:val="22"/>
          <w:szCs w:val="22"/>
          <w:lang w:val="en-US"/>
        </w:rPr>
        <w:t>.</w:t>
      </w:r>
    </w:p>
    <w:p w14:paraId="253EA4D8" w14:textId="77777777" w:rsidR="00B15162" w:rsidRPr="005F2054" w:rsidRDefault="00B15162" w:rsidP="005F2054">
      <w:pPr>
        <w:pStyle w:val="NormalWeb"/>
        <w:spacing w:before="0" w:beforeAutospacing="0" w:after="0" w:afterAutospacing="0" w:line="276" w:lineRule="auto"/>
        <w:rPr>
          <w:rFonts w:ascii="Arial" w:hAnsi="Arial" w:cs="Arial"/>
          <w:sz w:val="22"/>
          <w:szCs w:val="22"/>
          <w:lang w:val="en-US"/>
        </w:rPr>
      </w:pPr>
    </w:p>
    <w:p w14:paraId="7A5E5C09" w14:textId="56D20F98" w:rsidR="00412387" w:rsidRDefault="00F600C0"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In an early trial, the comparison of salmon calcitonin and sodium etidronate over one year showed that </w:t>
      </w:r>
      <w:r w:rsidR="00BC4DA8" w:rsidRPr="005F2054">
        <w:rPr>
          <w:rFonts w:ascii="Arial" w:hAnsi="Arial" w:cs="Arial"/>
          <w:sz w:val="22"/>
          <w:szCs w:val="22"/>
          <w:lang w:val="en-US"/>
        </w:rPr>
        <w:t>BFs</w:t>
      </w:r>
      <w:r w:rsidRPr="005F2054">
        <w:rPr>
          <w:rFonts w:ascii="Arial" w:hAnsi="Arial" w:cs="Arial"/>
          <w:sz w:val="22"/>
          <w:szCs w:val="22"/>
          <w:lang w:val="en-US"/>
        </w:rPr>
        <w:t xml:space="preserve"> </w:t>
      </w:r>
      <w:proofErr w:type="gramStart"/>
      <w:r w:rsidRPr="005F2054">
        <w:rPr>
          <w:rFonts w:ascii="Arial" w:hAnsi="Arial" w:cs="Arial"/>
          <w:sz w:val="22"/>
          <w:szCs w:val="22"/>
          <w:lang w:val="en-US"/>
        </w:rPr>
        <w:t>were capable of inducing</w:t>
      </w:r>
      <w:proofErr w:type="gramEnd"/>
      <w:r w:rsidRPr="005F2054">
        <w:rPr>
          <w:rFonts w:ascii="Arial" w:hAnsi="Arial" w:cs="Arial"/>
          <w:sz w:val="22"/>
          <w:szCs w:val="22"/>
          <w:lang w:val="en-US"/>
        </w:rPr>
        <w:t xml:space="preserve"> a greater increase in lumbar BMD (6.4% vs. </w:t>
      </w:r>
      <w:r w:rsidRPr="00B15162">
        <w:rPr>
          <w:rFonts w:ascii="Arial" w:hAnsi="Arial" w:cs="Arial"/>
          <w:sz w:val="22"/>
          <w:szCs w:val="22"/>
          <w:lang w:val="en-US"/>
        </w:rPr>
        <w:t xml:space="preserve">8.2%) </w:t>
      </w:r>
      <w:r w:rsidRPr="00B15162">
        <w:rPr>
          <w:rFonts w:ascii="Arial" w:hAnsi="Arial" w:cs="Arial"/>
          <w:sz w:val="22"/>
          <w:szCs w:val="22"/>
          <w:lang w:val="en-GB"/>
        </w:rPr>
        <w:t xml:space="preserve">(91). </w:t>
      </w:r>
      <w:r w:rsidRPr="00B15162">
        <w:rPr>
          <w:rFonts w:ascii="Arial" w:hAnsi="Arial" w:cs="Arial"/>
          <w:sz w:val="22"/>
          <w:szCs w:val="22"/>
          <w:lang w:val="en-US"/>
        </w:rPr>
        <w:t xml:space="preserve">A more recent retrospective study in renal transplant patients with end-stage renal disease demonstrated that </w:t>
      </w:r>
      <w:r w:rsidR="00981EEA">
        <w:rPr>
          <w:rFonts w:ascii="Arial" w:hAnsi="Arial" w:cs="Arial"/>
          <w:sz w:val="22"/>
          <w:szCs w:val="22"/>
          <w:lang w:val="en-US"/>
        </w:rPr>
        <w:t>BF</w:t>
      </w:r>
      <w:r w:rsidRPr="00B15162">
        <w:rPr>
          <w:rFonts w:ascii="Arial" w:hAnsi="Arial" w:cs="Arial"/>
          <w:sz w:val="22"/>
          <w:szCs w:val="22"/>
          <w:lang w:val="en-US"/>
        </w:rPr>
        <w:t xml:space="preserve"> treatment for 3.5 years was associated with a significant increase in lumbar spine BMD in recipients 15 years post-transplant </w:t>
      </w:r>
      <w:r w:rsidRPr="00B15162">
        <w:rPr>
          <w:rFonts w:ascii="Arial" w:hAnsi="Arial" w:cs="Arial"/>
          <w:sz w:val="22"/>
          <w:szCs w:val="22"/>
          <w:lang w:val="en-GB"/>
        </w:rPr>
        <w:t xml:space="preserve">(92). </w:t>
      </w:r>
      <w:r w:rsidRPr="00B15162">
        <w:rPr>
          <w:rFonts w:ascii="Arial" w:hAnsi="Arial" w:cs="Arial"/>
          <w:sz w:val="22"/>
          <w:szCs w:val="22"/>
          <w:lang w:val="en-US"/>
        </w:rPr>
        <w:t xml:space="preserve">Additionally, in renal transplant patients, administration of </w:t>
      </w:r>
      <w:r w:rsidR="00BC4DA8" w:rsidRPr="00B15162">
        <w:rPr>
          <w:rFonts w:ascii="Arial" w:hAnsi="Arial" w:cs="Arial"/>
          <w:sz w:val="22"/>
          <w:szCs w:val="22"/>
          <w:lang w:val="en-US"/>
        </w:rPr>
        <w:t>BFs</w:t>
      </w:r>
      <w:r w:rsidRPr="00B15162">
        <w:rPr>
          <w:rFonts w:ascii="Arial" w:hAnsi="Arial" w:cs="Arial"/>
          <w:sz w:val="22"/>
          <w:szCs w:val="22"/>
          <w:lang w:val="en-US"/>
        </w:rPr>
        <w:t xml:space="preserve"> for 12 months was associated with improvements in lumbar and femoral neck BMD, as well as a reduction in fracture risk (RR 0.62; CI: 0.38–1.01) </w:t>
      </w:r>
      <w:r w:rsidR="00F469B6" w:rsidRPr="00B15162">
        <w:rPr>
          <w:rFonts w:ascii="Arial" w:hAnsi="Arial" w:cs="Arial"/>
          <w:sz w:val="22"/>
          <w:szCs w:val="22"/>
          <w:lang w:val="en-US"/>
        </w:rPr>
        <w:t>(8</w:t>
      </w:r>
      <w:r w:rsidR="003B14FC" w:rsidRPr="00B15162">
        <w:rPr>
          <w:rFonts w:ascii="Arial" w:hAnsi="Arial" w:cs="Arial"/>
          <w:sz w:val="22"/>
          <w:szCs w:val="22"/>
          <w:lang w:val="en-US"/>
        </w:rPr>
        <w:t>6</w:t>
      </w:r>
      <w:r w:rsidR="00F469B6" w:rsidRPr="00B15162">
        <w:rPr>
          <w:rFonts w:ascii="Arial" w:hAnsi="Arial" w:cs="Arial"/>
          <w:sz w:val="22"/>
          <w:szCs w:val="22"/>
          <w:lang w:val="en-US"/>
        </w:rPr>
        <w:t>).</w:t>
      </w:r>
    </w:p>
    <w:p w14:paraId="2899D1E3"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6BD6ACA2" w14:textId="41D7C60C" w:rsidR="00412387" w:rsidRDefault="00F600C0"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color w:val="000000" w:themeColor="text1"/>
          <w:sz w:val="22"/>
          <w:szCs w:val="22"/>
          <w:lang w:val="en-US"/>
        </w:rPr>
        <w:t xml:space="preserve">Two trials with risedronate have been conducted: one involving 101 patients after kidney transplantation and another with 41 liver transplant patients, both with one year of follow-up. In both trials, there was a significant and early increase in lumbar BMD at 6 months </w:t>
      </w:r>
      <w:r w:rsidRPr="005F2054">
        <w:rPr>
          <w:rFonts w:ascii="Arial" w:hAnsi="Arial" w:cs="Arial"/>
          <w:color w:val="000000" w:themeColor="text1"/>
          <w:sz w:val="22"/>
          <w:szCs w:val="22"/>
          <w:lang w:val="en-GB"/>
        </w:rPr>
        <w:t xml:space="preserve">(93,94). </w:t>
      </w:r>
      <w:r w:rsidRPr="005F2054">
        <w:rPr>
          <w:rFonts w:ascii="Arial" w:hAnsi="Arial" w:cs="Arial"/>
          <w:color w:val="000000" w:themeColor="text1"/>
          <w:sz w:val="22"/>
          <w:szCs w:val="22"/>
          <w:lang w:val="en-US"/>
        </w:rPr>
        <w:lastRenderedPageBreak/>
        <w:t xml:space="preserve">In a study of 84 patients with liver or heart transplantation, alendronate and zoledronate administered for one year prevented hip bone loss. However, in heart transplant patients, lumbar BMD remained stable with zoledronate but decreased with </w:t>
      </w:r>
      <w:r w:rsidRPr="00B15162">
        <w:rPr>
          <w:rFonts w:ascii="Arial" w:hAnsi="Arial" w:cs="Arial"/>
          <w:sz w:val="22"/>
          <w:szCs w:val="22"/>
          <w:lang w:val="en-US"/>
        </w:rPr>
        <w:t xml:space="preserve">alendronate </w:t>
      </w:r>
      <w:r w:rsidR="0026108B" w:rsidRPr="00B15162">
        <w:rPr>
          <w:rFonts w:ascii="Arial" w:hAnsi="Arial" w:cs="Arial"/>
          <w:sz w:val="22"/>
          <w:szCs w:val="22"/>
          <w:lang w:val="en-US"/>
        </w:rPr>
        <w:t>(</w:t>
      </w:r>
      <w:r w:rsidR="00F469B6" w:rsidRPr="00B15162">
        <w:rPr>
          <w:rFonts w:ascii="Arial" w:hAnsi="Arial" w:cs="Arial"/>
          <w:sz w:val="22"/>
          <w:szCs w:val="22"/>
          <w:lang w:val="en-US"/>
        </w:rPr>
        <w:t>9</w:t>
      </w:r>
      <w:r w:rsidR="003B14FC" w:rsidRPr="00B15162">
        <w:rPr>
          <w:rFonts w:ascii="Arial" w:hAnsi="Arial" w:cs="Arial"/>
          <w:sz w:val="22"/>
          <w:szCs w:val="22"/>
          <w:lang w:val="en-US"/>
        </w:rPr>
        <w:t>5</w:t>
      </w:r>
      <w:r w:rsidR="00F469B6" w:rsidRPr="00B15162">
        <w:rPr>
          <w:rFonts w:ascii="Arial" w:hAnsi="Arial" w:cs="Arial"/>
          <w:sz w:val="22"/>
          <w:szCs w:val="22"/>
          <w:lang w:val="en-US"/>
        </w:rPr>
        <w:t>)</w:t>
      </w:r>
      <w:r w:rsidR="00412387" w:rsidRPr="00B15162">
        <w:rPr>
          <w:rFonts w:ascii="Arial" w:hAnsi="Arial" w:cs="Arial"/>
          <w:sz w:val="22"/>
          <w:szCs w:val="22"/>
          <w:lang w:val="en-US"/>
        </w:rPr>
        <w:t xml:space="preserve">. </w:t>
      </w:r>
    </w:p>
    <w:p w14:paraId="481786B3"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34654DDB" w14:textId="77777777" w:rsidR="003B7C16" w:rsidRDefault="00BC4DA8" w:rsidP="005F2054">
      <w:pPr>
        <w:pStyle w:val="NormalWeb"/>
        <w:spacing w:before="0" w:beforeAutospacing="0" w:after="0" w:afterAutospacing="0" w:line="276" w:lineRule="auto"/>
        <w:rPr>
          <w:rFonts w:ascii="Arial" w:hAnsi="Arial" w:cs="Arial"/>
          <w:sz w:val="22"/>
          <w:szCs w:val="22"/>
          <w:lang w:val="en-US"/>
        </w:rPr>
      </w:pPr>
      <w:r w:rsidRPr="00B15162">
        <w:rPr>
          <w:rFonts w:ascii="Arial" w:hAnsi="Arial" w:cs="Arial"/>
          <w:sz w:val="22"/>
          <w:szCs w:val="22"/>
          <w:lang w:val="en-US"/>
        </w:rPr>
        <w:t xml:space="preserve">A more recent meta-analysis reported improvements in BMD and reductions in fracture risk with BFs use in liver transplant patients </w:t>
      </w:r>
      <w:r w:rsidR="00D62174" w:rsidRPr="00B15162">
        <w:rPr>
          <w:rFonts w:ascii="Arial" w:hAnsi="Arial" w:cs="Arial"/>
          <w:sz w:val="22"/>
          <w:szCs w:val="22"/>
          <w:lang w:val="en-US"/>
        </w:rPr>
        <w:t>(9</w:t>
      </w:r>
      <w:r w:rsidR="003B14FC" w:rsidRPr="00B15162">
        <w:rPr>
          <w:rFonts w:ascii="Arial" w:hAnsi="Arial" w:cs="Arial"/>
          <w:sz w:val="22"/>
          <w:szCs w:val="22"/>
          <w:lang w:val="en-US"/>
        </w:rPr>
        <w:t>6</w:t>
      </w:r>
      <w:r w:rsidR="00D62174" w:rsidRPr="00B15162">
        <w:rPr>
          <w:rFonts w:ascii="Arial" w:hAnsi="Arial" w:cs="Arial"/>
          <w:sz w:val="22"/>
          <w:szCs w:val="22"/>
          <w:lang w:val="en-US"/>
        </w:rPr>
        <w:t>).</w:t>
      </w:r>
      <w:r w:rsidR="0057112D" w:rsidRPr="00B15162">
        <w:rPr>
          <w:rFonts w:ascii="Arial" w:hAnsi="Arial" w:cs="Arial"/>
          <w:sz w:val="22"/>
          <w:szCs w:val="22"/>
          <w:lang w:val="en-US"/>
        </w:rPr>
        <w:t xml:space="preserve"> </w:t>
      </w:r>
      <w:r w:rsidRPr="00B15162">
        <w:rPr>
          <w:rFonts w:ascii="Arial" w:hAnsi="Arial" w:cs="Arial"/>
          <w:sz w:val="22"/>
          <w:szCs w:val="22"/>
          <w:lang w:val="en-US"/>
        </w:rPr>
        <w:t>The results indicate that BFs ar</w:t>
      </w:r>
      <w:r w:rsidRPr="005F2054">
        <w:rPr>
          <w:rFonts w:ascii="Arial" w:hAnsi="Arial" w:cs="Arial"/>
          <w:sz w:val="22"/>
          <w:szCs w:val="22"/>
          <w:lang w:val="en-US"/>
        </w:rPr>
        <w:t xml:space="preserve">e associated with superior fracture prevention compared to calcium and vitamin D alone (OR = 0.37; CI: 0.17–0.7). Oral BFs were linked to a lower incidence of vertebral and overall fractures, as well as improvements in lumbar spine and femoral neck BMD, compared to intravenous BFs. The potential superiority of oral BFs may be due to several studies using intravenous zoledronate and ibandronate with doses that did not align with those recommended in clinical guidelines. </w:t>
      </w:r>
    </w:p>
    <w:p w14:paraId="22B40C03" w14:textId="77777777" w:rsidR="003B7C16" w:rsidRDefault="003B7C16" w:rsidP="005F2054">
      <w:pPr>
        <w:pStyle w:val="NormalWeb"/>
        <w:spacing w:before="0" w:beforeAutospacing="0" w:after="0" w:afterAutospacing="0" w:line="276" w:lineRule="auto"/>
        <w:rPr>
          <w:rFonts w:ascii="Arial" w:hAnsi="Arial" w:cs="Arial"/>
          <w:sz w:val="22"/>
          <w:szCs w:val="22"/>
          <w:lang w:val="en-US"/>
        </w:rPr>
      </w:pPr>
    </w:p>
    <w:p w14:paraId="73CDF32D" w14:textId="703D9EA9" w:rsidR="0057112D" w:rsidRPr="00B15162" w:rsidRDefault="00BC4DA8"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The tolerability of BFs is generally acceptable, with the common adverse effect being gastroesophageal </w:t>
      </w:r>
      <w:r w:rsidRPr="003B7C16">
        <w:rPr>
          <w:rFonts w:ascii="Arial" w:hAnsi="Arial" w:cs="Arial"/>
          <w:sz w:val="22"/>
          <w:szCs w:val="22"/>
          <w:lang w:val="en-US"/>
        </w:rPr>
        <w:t>reflux</w:t>
      </w:r>
      <w:r w:rsidR="0057112D" w:rsidRPr="003B7C16">
        <w:rPr>
          <w:rFonts w:ascii="Arial" w:hAnsi="Arial" w:cs="Arial"/>
          <w:sz w:val="22"/>
          <w:szCs w:val="22"/>
          <w:lang w:val="en-US"/>
        </w:rPr>
        <w:t xml:space="preserve"> </w:t>
      </w:r>
      <w:r w:rsidR="00D62174" w:rsidRPr="003B7C16">
        <w:rPr>
          <w:rFonts w:ascii="Arial" w:hAnsi="Arial" w:cs="Arial"/>
          <w:sz w:val="22"/>
          <w:szCs w:val="22"/>
          <w:lang w:val="en-US"/>
        </w:rPr>
        <w:t>(9</w:t>
      </w:r>
      <w:r w:rsidR="00653D04" w:rsidRPr="003B7C16">
        <w:rPr>
          <w:rFonts w:ascii="Arial" w:hAnsi="Arial" w:cs="Arial"/>
          <w:sz w:val="22"/>
          <w:szCs w:val="22"/>
          <w:lang w:val="en-US"/>
        </w:rPr>
        <w:t>7</w:t>
      </w:r>
      <w:r w:rsidR="00D62174" w:rsidRPr="003B7C16">
        <w:rPr>
          <w:rFonts w:ascii="Arial" w:hAnsi="Arial" w:cs="Arial"/>
          <w:sz w:val="22"/>
          <w:szCs w:val="22"/>
          <w:lang w:val="en-US"/>
        </w:rPr>
        <w:t>).</w:t>
      </w:r>
      <w:r w:rsidR="0057112D" w:rsidRPr="003B7C16">
        <w:rPr>
          <w:rFonts w:ascii="Arial" w:hAnsi="Arial" w:cs="Arial"/>
          <w:sz w:val="22"/>
          <w:szCs w:val="22"/>
          <w:lang w:val="en-US"/>
        </w:rPr>
        <w:t xml:space="preserve"> </w:t>
      </w:r>
      <w:r w:rsidRPr="003B7C16">
        <w:rPr>
          <w:rFonts w:ascii="Arial" w:hAnsi="Arial" w:cs="Arial"/>
          <w:sz w:val="22"/>
          <w:szCs w:val="22"/>
          <w:lang w:val="en-US"/>
        </w:rPr>
        <w:t>Therefore</w:t>
      </w:r>
      <w:r w:rsidRPr="005F2054">
        <w:rPr>
          <w:rFonts w:ascii="Arial" w:hAnsi="Arial" w:cs="Arial"/>
          <w:sz w:val="22"/>
          <w:szCs w:val="22"/>
          <w:lang w:val="en-US"/>
        </w:rPr>
        <w:t xml:space="preserve">, caution should be exercised in liver transplant patients with pre-existing cirrhosis if esophageal pathology is present, especially in those with pre-transplant esophageal varices. In transplant patients with a history of esophageal injuries or who develop esophagitis with oral bisphosphonate use, zoledronate may be considered, as its parenteral administration is not associated with reflux development. Furthermore, treatment with zoledronate is associated with better patient adherence </w:t>
      </w:r>
      <w:r w:rsidR="00D62174" w:rsidRPr="00B15162">
        <w:rPr>
          <w:rFonts w:ascii="Arial" w:hAnsi="Arial" w:cs="Arial"/>
          <w:sz w:val="22"/>
          <w:szCs w:val="22"/>
          <w:lang w:val="en-US"/>
        </w:rPr>
        <w:t>(9</w:t>
      </w:r>
      <w:r w:rsidR="00653D04" w:rsidRPr="00B15162">
        <w:rPr>
          <w:rFonts w:ascii="Arial" w:hAnsi="Arial" w:cs="Arial"/>
          <w:sz w:val="22"/>
          <w:szCs w:val="22"/>
          <w:lang w:val="en-US"/>
        </w:rPr>
        <w:t>8</w:t>
      </w:r>
      <w:r w:rsidRPr="00B15162">
        <w:rPr>
          <w:rFonts w:ascii="Arial" w:hAnsi="Arial" w:cs="Arial"/>
          <w:sz w:val="22"/>
          <w:szCs w:val="22"/>
          <w:lang w:val="en-US"/>
        </w:rPr>
        <w:t>)</w:t>
      </w:r>
      <w:r w:rsidR="00D62174" w:rsidRPr="00B15162">
        <w:rPr>
          <w:rFonts w:ascii="Arial" w:hAnsi="Arial" w:cs="Arial"/>
          <w:sz w:val="22"/>
          <w:szCs w:val="22"/>
          <w:lang w:val="en-US"/>
        </w:rPr>
        <w:t xml:space="preserve"> </w:t>
      </w:r>
      <w:r w:rsidR="0057112D" w:rsidRPr="00B15162">
        <w:rPr>
          <w:rFonts w:ascii="Arial" w:hAnsi="Arial" w:cs="Arial"/>
          <w:sz w:val="22"/>
          <w:szCs w:val="22"/>
          <w:lang w:val="en-US"/>
        </w:rPr>
        <w:t xml:space="preserve">and may be an option to reduce polypharmacy in transplant patients </w:t>
      </w:r>
      <w:r w:rsidR="00D62174" w:rsidRPr="00B15162">
        <w:rPr>
          <w:rFonts w:ascii="Arial" w:hAnsi="Arial" w:cs="Arial"/>
          <w:sz w:val="22"/>
          <w:szCs w:val="22"/>
          <w:lang w:val="en-US"/>
        </w:rPr>
        <w:t xml:space="preserve">(95). </w:t>
      </w:r>
      <w:r w:rsidR="0057112D" w:rsidRPr="00B15162">
        <w:rPr>
          <w:rFonts w:ascii="Arial" w:hAnsi="Arial" w:cs="Arial"/>
          <w:sz w:val="22"/>
          <w:szCs w:val="22"/>
          <w:lang w:val="en-US"/>
        </w:rPr>
        <w:t xml:space="preserve">Another complication associated with </w:t>
      </w:r>
      <w:r w:rsidRPr="00B15162">
        <w:rPr>
          <w:rFonts w:ascii="Arial" w:hAnsi="Arial" w:cs="Arial"/>
          <w:sz w:val="22"/>
          <w:szCs w:val="22"/>
          <w:lang w:val="en-US"/>
        </w:rPr>
        <w:t>BF</w:t>
      </w:r>
      <w:r w:rsidR="0057112D" w:rsidRPr="00B15162">
        <w:rPr>
          <w:rFonts w:ascii="Arial" w:hAnsi="Arial" w:cs="Arial"/>
          <w:sz w:val="22"/>
          <w:szCs w:val="22"/>
          <w:lang w:val="en-US"/>
        </w:rPr>
        <w:t xml:space="preserve"> use is </w:t>
      </w:r>
      <w:r w:rsidR="008C43C6" w:rsidRPr="00B15162">
        <w:rPr>
          <w:rFonts w:ascii="Arial" w:hAnsi="Arial" w:cs="Arial"/>
          <w:sz w:val="22"/>
          <w:szCs w:val="22"/>
          <w:lang w:val="en-US"/>
        </w:rPr>
        <w:t>hypercalcemia</w:t>
      </w:r>
      <w:r w:rsidR="0057112D" w:rsidRPr="00B15162">
        <w:rPr>
          <w:rFonts w:ascii="Arial" w:hAnsi="Arial" w:cs="Arial"/>
          <w:sz w:val="22"/>
          <w:szCs w:val="22"/>
          <w:lang w:val="en-US"/>
        </w:rPr>
        <w:t xml:space="preserve">, typically linked to intravenous zoledronate use and pre-existing vitamin D deficiency </w:t>
      </w:r>
      <w:r w:rsidR="00D62174" w:rsidRPr="00B15162">
        <w:rPr>
          <w:rFonts w:ascii="Arial" w:hAnsi="Arial" w:cs="Arial"/>
          <w:sz w:val="22"/>
          <w:szCs w:val="22"/>
          <w:lang w:val="en-US"/>
        </w:rPr>
        <w:t>(8</w:t>
      </w:r>
      <w:r w:rsidR="00653D04" w:rsidRPr="00B15162">
        <w:rPr>
          <w:rFonts w:ascii="Arial" w:hAnsi="Arial" w:cs="Arial"/>
          <w:sz w:val="22"/>
          <w:szCs w:val="22"/>
          <w:lang w:val="en-US"/>
        </w:rPr>
        <w:t>6</w:t>
      </w:r>
      <w:r w:rsidR="00D62174" w:rsidRPr="00B15162">
        <w:rPr>
          <w:rFonts w:ascii="Arial" w:hAnsi="Arial" w:cs="Arial"/>
          <w:sz w:val="22"/>
          <w:szCs w:val="22"/>
          <w:lang w:val="en-US"/>
        </w:rPr>
        <w:t>).</w:t>
      </w:r>
      <w:r w:rsidR="0057112D" w:rsidRPr="00B15162">
        <w:rPr>
          <w:rFonts w:ascii="Arial" w:hAnsi="Arial" w:cs="Arial"/>
          <w:sz w:val="22"/>
          <w:szCs w:val="22"/>
          <w:lang w:val="en-US"/>
        </w:rPr>
        <w:t xml:space="preserve"> Finally, due to its potential to exacerbate adynamic bone disease, </w:t>
      </w:r>
      <w:r w:rsidR="008C43C6" w:rsidRPr="00B15162">
        <w:rPr>
          <w:rFonts w:ascii="Arial" w:hAnsi="Arial" w:cs="Arial"/>
          <w:sz w:val="22"/>
          <w:szCs w:val="22"/>
          <w:lang w:val="en-US"/>
        </w:rPr>
        <w:t>BF</w:t>
      </w:r>
      <w:r w:rsidR="003A3939" w:rsidRPr="00B15162">
        <w:rPr>
          <w:rFonts w:ascii="Arial" w:hAnsi="Arial" w:cs="Arial"/>
          <w:sz w:val="22"/>
          <w:szCs w:val="22"/>
          <w:lang w:val="en-US"/>
        </w:rPr>
        <w:t>s</w:t>
      </w:r>
      <w:r w:rsidR="008C43C6" w:rsidRPr="00B15162">
        <w:rPr>
          <w:rFonts w:ascii="Arial" w:hAnsi="Arial" w:cs="Arial"/>
          <w:b/>
          <w:bCs/>
          <w:sz w:val="22"/>
          <w:szCs w:val="22"/>
          <w:lang w:val="en-US"/>
        </w:rPr>
        <w:t xml:space="preserve"> </w:t>
      </w:r>
      <w:r w:rsidR="0057112D" w:rsidRPr="00B15162">
        <w:rPr>
          <w:rFonts w:ascii="Arial" w:hAnsi="Arial" w:cs="Arial"/>
          <w:sz w:val="22"/>
          <w:szCs w:val="22"/>
          <w:lang w:val="en-US"/>
        </w:rPr>
        <w:t xml:space="preserve">are not recommended in patients with glomerular filtration rates below 30 mL/min </w:t>
      </w:r>
      <w:r w:rsidR="00D62174" w:rsidRPr="00B15162">
        <w:rPr>
          <w:rFonts w:ascii="Arial" w:hAnsi="Arial" w:cs="Arial"/>
          <w:sz w:val="22"/>
          <w:szCs w:val="22"/>
          <w:lang w:val="en-US"/>
        </w:rPr>
        <w:t>(96)</w:t>
      </w:r>
      <w:r w:rsidR="003B7C16">
        <w:rPr>
          <w:rFonts w:ascii="Arial" w:hAnsi="Arial" w:cs="Arial"/>
          <w:sz w:val="22"/>
          <w:szCs w:val="22"/>
          <w:lang w:val="en-US"/>
        </w:rPr>
        <w:t>.</w:t>
      </w:r>
    </w:p>
    <w:p w14:paraId="312A0F32" w14:textId="77777777" w:rsidR="00BC4DA8" w:rsidRPr="005F2054" w:rsidRDefault="00BC4DA8" w:rsidP="005F2054">
      <w:pPr>
        <w:pStyle w:val="NormalWeb"/>
        <w:spacing w:before="0" w:beforeAutospacing="0" w:after="0" w:afterAutospacing="0" w:line="276" w:lineRule="auto"/>
        <w:rPr>
          <w:rFonts w:ascii="Arial" w:hAnsi="Arial" w:cs="Arial"/>
          <w:b/>
          <w:bCs/>
          <w:color w:val="C00000"/>
          <w:sz w:val="22"/>
          <w:szCs w:val="22"/>
          <w:lang w:val="en-US"/>
        </w:rPr>
      </w:pPr>
    </w:p>
    <w:p w14:paraId="719A040B" w14:textId="77777777" w:rsidR="00B15162" w:rsidRPr="00B15162" w:rsidRDefault="003A0268" w:rsidP="005F2054">
      <w:pPr>
        <w:pStyle w:val="NormalWeb"/>
        <w:spacing w:before="0" w:beforeAutospacing="0" w:after="0" w:afterAutospacing="0" w:line="276" w:lineRule="auto"/>
        <w:rPr>
          <w:rFonts w:ascii="Arial" w:hAnsi="Arial" w:cs="Arial"/>
          <w:sz w:val="22"/>
          <w:szCs w:val="22"/>
          <w:lang w:val="en-US"/>
        </w:rPr>
      </w:pPr>
      <w:r w:rsidRPr="00B15162">
        <w:rPr>
          <w:rFonts w:ascii="Arial" w:hAnsi="Arial" w:cs="Arial"/>
          <w:color w:val="C00000"/>
          <w:sz w:val="22"/>
          <w:szCs w:val="22"/>
          <w:lang w:val="en-US"/>
        </w:rPr>
        <w:t>DENOSUMAB</w:t>
      </w:r>
      <w:r w:rsidRPr="00B15162">
        <w:rPr>
          <w:rFonts w:ascii="Arial" w:hAnsi="Arial" w:cs="Arial"/>
          <w:sz w:val="22"/>
          <w:szCs w:val="22"/>
          <w:lang w:val="en-US"/>
        </w:rPr>
        <w:t xml:space="preserve"> </w:t>
      </w:r>
    </w:p>
    <w:p w14:paraId="7BDE0B73"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183E09C7" w14:textId="2294C7CF" w:rsidR="0057112D" w:rsidRDefault="00B15162" w:rsidP="005F2054">
      <w:pPr>
        <w:pStyle w:val="NormalWeb"/>
        <w:spacing w:before="0" w:beforeAutospacing="0" w:after="0" w:afterAutospacing="0" w:line="276" w:lineRule="auto"/>
        <w:rPr>
          <w:rFonts w:ascii="Arial" w:hAnsi="Arial" w:cs="Arial"/>
          <w:sz w:val="22"/>
          <w:szCs w:val="22"/>
          <w:lang w:val="en-US"/>
        </w:rPr>
      </w:pPr>
      <w:r w:rsidRPr="00B15162">
        <w:rPr>
          <w:rFonts w:ascii="Arial" w:hAnsi="Arial" w:cs="Arial"/>
          <w:sz w:val="22"/>
          <w:szCs w:val="22"/>
          <w:lang w:val="en-US"/>
        </w:rPr>
        <w:t>Denosumab</w:t>
      </w:r>
      <w:r>
        <w:rPr>
          <w:rFonts w:ascii="Arial" w:hAnsi="Arial" w:cs="Arial"/>
          <w:b/>
          <w:bCs/>
          <w:sz w:val="22"/>
          <w:szCs w:val="22"/>
          <w:lang w:val="en-US"/>
        </w:rPr>
        <w:t xml:space="preserve"> </w:t>
      </w:r>
      <w:r w:rsidR="00BC4DA8" w:rsidRPr="005F2054">
        <w:rPr>
          <w:rFonts w:ascii="Arial" w:hAnsi="Arial" w:cs="Arial"/>
          <w:sz w:val="22"/>
          <w:szCs w:val="22"/>
          <w:lang w:val="en-US"/>
        </w:rPr>
        <w:t>i</w:t>
      </w:r>
      <w:r w:rsidR="0057112D" w:rsidRPr="005F2054">
        <w:rPr>
          <w:rFonts w:ascii="Arial" w:hAnsi="Arial" w:cs="Arial"/>
          <w:sz w:val="22"/>
          <w:szCs w:val="22"/>
          <w:lang w:val="en-US"/>
        </w:rPr>
        <w:t xml:space="preserve">s a monoclonal antibody against the receptor activator of nuclear factor kappa-B ligand (RANKL), a </w:t>
      </w:r>
      <w:r w:rsidR="00BC4DA8" w:rsidRPr="005F2054">
        <w:rPr>
          <w:rFonts w:ascii="Arial" w:hAnsi="Arial" w:cs="Arial"/>
          <w:sz w:val="22"/>
          <w:szCs w:val="22"/>
          <w:lang w:val="en-US"/>
        </w:rPr>
        <w:t xml:space="preserve">key factor involved in osteoclast differentiation. By blocking the binding of RANKL to its receptor, RANK, denosumab reduces the formation, function, and survival of osteoclasts. This action decreases bone resorption, increases BMD, and reduces fracture risk in both the short and long </w:t>
      </w:r>
      <w:r w:rsidR="00BC4DA8" w:rsidRPr="00B15162">
        <w:rPr>
          <w:rFonts w:ascii="Arial" w:hAnsi="Arial" w:cs="Arial"/>
          <w:sz w:val="22"/>
          <w:szCs w:val="22"/>
          <w:lang w:val="en-US"/>
        </w:rPr>
        <w:t xml:space="preserve">term </w:t>
      </w:r>
      <w:r w:rsidR="00D62174" w:rsidRPr="00B15162">
        <w:rPr>
          <w:rFonts w:ascii="Arial" w:hAnsi="Arial" w:cs="Arial"/>
          <w:sz w:val="22"/>
          <w:szCs w:val="22"/>
          <w:lang w:val="en-US"/>
        </w:rPr>
        <w:t>(9</w:t>
      </w:r>
      <w:r w:rsidR="00653D04" w:rsidRPr="00B15162">
        <w:rPr>
          <w:rFonts w:ascii="Arial" w:hAnsi="Arial" w:cs="Arial"/>
          <w:sz w:val="22"/>
          <w:szCs w:val="22"/>
          <w:lang w:val="en-US"/>
        </w:rPr>
        <w:t>9</w:t>
      </w:r>
      <w:r w:rsidR="00D62174" w:rsidRPr="00B15162">
        <w:rPr>
          <w:rFonts w:ascii="Arial" w:hAnsi="Arial" w:cs="Arial"/>
          <w:sz w:val="22"/>
          <w:szCs w:val="22"/>
          <w:lang w:val="en-US"/>
        </w:rPr>
        <w:t>).</w:t>
      </w:r>
    </w:p>
    <w:p w14:paraId="72CDFF12" w14:textId="77777777" w:rsidR="00B15162" w:rsidRPr="005F2054" w:rsidRDefault="00B15162" w:rsidP="005F2054">
      <w:pPr>
        <w:pStyle w:val="NormalWeb"/>
        <w:spacing w:before="0" w:beforeAutospacing="0" w:after="0" w:afterAutospacing="0" w:line="276" w:lineRule="auto"/>
        <w:rPr>
          <w:rFonts w:ascii="Arial" w:hAnsi="Arial" w:cs="Arial"/>
          <w:sz w:val="22"/>
          <w:szCs w:val="22"/>
          <w:lang w:val="en-US"/>
        </w:rPr>
      </w:pPr>
    </w:p>
    <w:p w14:paraId="17FACBDB" w14:textId="77777777" w:rsidR="00BC4DA8" w:rsidRDefault="0057112D"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Therapy with denosumab has demonstrated improvements in </w:t>
      </w:r>
      <w:r w:rsidR="00AA5716" w:rsidRPr="005F2054">
        <w:rPr>
          <w:rFonts w:ascii="Arial" w:hAnsi="Arial" w:cs="Arial"/>
          <w:sz w:val="22"/>
          <w:szCs w:val="22"/>
          <w:lang w:val="en-US"/>
        </w:rPr>
        <w:t>BMD</w:t>
      </w:r>
      <w:r w:rsidRPr="005F2054">
        <w:rPr>
          <w:rFonts w:ascii="Arial" w:hAnsi="Arial" w:cs="Arial"/>
          <w:sz w:val="22"/>
          <w:szCs w:val="22"/>
          <w:lang w:val="en-US"/>
        </w:rPr>
        <w:t xml:space="preserve"> in patients undergoing solid organ transplantation, although data are limited. In a study involving 93 renal transplant patients with osteoporosis, </w:t>
      </w:r>
      <w:r w:rsidR="008646FD" w:rsidRPr="005F2054">
        <w:rPr>
          <w:rFonts w:ascii="Arial" w:hAnsi="Arial" w:cs="Arial"/>
          <w:sz w:val="22"/>
          <w:szCs w:val="22"/>
          <w:lang w:val="en-US"/>
        </w:rPr>
        <w:t xml:space="preserve">after 12 months of denosumab </w:t>
      </w:r>
      <w:r w:rsidR="00892BF1" w:rsidRPr="005F2054">
        <w:rPr>
          <w:rFonts w:ascii="Arial" w:hAnsi="Arial" w:cs="Arial"/>
          <w:sz w:val="22"/>
          <w:szCs w:val="22"/>
          <w:lang w:val="en-US"/>
        </w:rPr>
        <w:t>treatment, there</w:t>
      </w:r>
      <w:r w:rsidR="008646FD" w:rsidRPr="005F2054">
        <w:rPr>
          <w:rFonts w:ascii="Arial" w:hAnsi="Arial" w:cs="Arial"/>
          <w:sz w:val="22"/>
          <w:szCs w:val="22"/>
          <w:lang w:val="en-US"/>
        </w:rPr>
        <w:t xml:space="preserve"> was an improvement in bone mineral density of 4.6% (3.3–5.9%) in the lumbar spine and 1.9% (0.1–3.7%) in the total </w:t>
      </w:r>
      <w:r w:rsidR="008646FD" w:rsidRPr="00B15162">
        <w:rPr>
          <w:rFonts w:ascii="Arial" w:hAnsi="Arial" w:cs="Arial"/>
          <w:sz w:val="22"/>
          <w:szCs w:val="22"/>
          <w:lang w:val="en-US"/>
        </w:rPr>
        <w:t>hip</w:t>
      </w:r>
      <w:r w:rsidR="007A5F19" w:rsidRPr="00B15162">
        <w:rPr>
          <w:rFonts w:ascii="Arial" w:hAnsi="Arial" w:cs="Arial"/>
          <w:sz w:val="22"/>
          <w:szCs w:val="22"/>
          <w:lang w:val="en-US"/>
        </w:rPr>
        <w:t xml:space="preserve"> (100)</w:t>
      </w:r>
      <w:r w:rsidR="00156822" w:rsidRPr="00B15162">
        <w:rPr>
          <w:rFonts w:ascii="Arial" w:hAnsi="Arial" w:cs="Arial"/>
          <w:sz w:val="22"/>
          <w:szCs w:val="22"/>
          <w:lang w:val="en-US"/>
        </w:rPr>
        <w:t>.</w:t>
      </w:r>
      <w:r w:rsidR="008646FD" w:rsidRPr="00B15162">
        <w:rPr>
          <w:rFonts w:ascii="Arial" w:hAnsi="Arial" w:cs="Arial"/>
          <w:sz w:val="22"/>
          <w:szCs w:val="22"/>
          <w:lang w:val="en-US"/>
        </w:rPr>
        <w:t xml:space="preserve">  Similarly</w:t>
      </w:r>
      <w:r w:rsidR="00892BF1" w:rsidRPr="00B15162">
        <w:rPr>
          <w:rFonts w:ascii="Arial" w:hAnsi="Arial" w:cs="Arial"/>
          <w:sz w:val="22"/>
          <w:szCs w:val="22"/>
          <w:lang w:val="en-US"/>
        </w:rPr>
        <w:t>,</w:t>
      </w:r>
      <w:r w:rsidR="008646FD" w:rsidRPr="00B15162">
        <w:rPr>
          <w:rFonts w:ascii="Arial" w:hAnsi="Arial" w:cs="Arial"/>
          <w:sz w:val="22"/>
          <w:szCs w:val="22"/>
          <w:lang w:val="en-US"/>
        </w:rPr>
        <w:t xml:space="preserve"> it was shown that </w:t>
      </w:r>
      <w:r w:rsidR="00892BF1" w:rsidRPr="00B15162">
        <w:rPr>
          <w:rFonts w:ascii="Arial" w:hAnsi="Arial" w:cs="Arial"/>
          <w:sz w:val="22"/>
          <w:szCs w:val="22"/>
          <w:lang w:val="en-US"/>
        </w:rPr>
        <w:t xml:space="preserve">the </w:t>
      </w:r>
      <w:r w:rsidR="008646FD" w:rsidRPr="00B15162">
        <w:rPr>
          <w:rFonts w:ascii="Arial" w:hAnsi="Arial" w:cs="Arial"/>
          <w:sz w:val="22"/>
          <w:szCs w:val="22"/>
          <w:lang w:val="en-US"/>
        </w:rPr>
        <w:t xml:space="preserve">prevalence of osteoporosis decreased in </w:t>
      </w:r>
      <w:r w:rsidR="00892BF1" w:rsidRPr="00B15162">
        <w:rPr>
          <w:rFonts w:ascii="Arial" w:hAnsi="Arial" w:cs="Arial"/>
          <w:sz w:val="22"/>
          <w:szCs w:val="22"/>
          <w:lang w:val="en-US"/>
        </w:rPr>
        <w:t xml:space="preserve">the </w:t>
      </w:r>
      <w:r w:rsidR="008646FD" w:rsidRPr="00B15162">
        <w:rPr>
          <w:rFonts w:ascii="Arial" w:hAnsi="Arial" w:cs="Arial"/>
          <w:sz w:val="22"/>
          <w:szCs w:val="22"/>
          <w:lang w:val="en-US"/>
        </w:rPr>
        <w:t xml:space="preserve">lumbar spine from 72% to 50% and in </w:t>
      </w:r>
      <w:r w:rsidR="00892BF1" w:rsidRPr="00B15162">
        <w:rPr>
          <w:rFonts w:ascii="Arial" w:hAnsi="Arial" w:cs="Arial"/>
          <w:sz w:val="22"/>
          <w:szCs w:val="22"/>
          <w:lang w:val="en-US"/>
        </w:rPr>
        <w:t xml:space="preserve">the </w:t>
      </w:r>
      <w:r w:rsidR="008646FD" w:rsidRPr="00B15162">
        <w:rPr>
          <w:rFonts w:ascii="Arial" w:hAnsi="Arial" w:cs="Arial"/>
          <w:sz w:val="22"/>
          <w:szCs w:val="22"/>
          <w:lang w:val="en-US"/>
        </w:rPr>
        <w:t xml:space="preserve">femoral neck from 78% to 69% in 32 renal transplant recipients </w:t>
      </w:r>
      <w:r w:rsidR="00AB61C7" w:rsidRPr="00B15162">
        <w:rPr>
          <w:rFonts w:ascii="Arial" w:hAnsi="Arial" w:cs="Arial"/>
          <w:sz w:val="22"/>
          <w:szCs w:val="22"/>
          <w:lang w:val="en-US"/>
        </w:rPr>
        <w:t>(</w:t>
      </w:r>
      <w:r w:rsidR="007A5F19" w:rsidRPr="00B15162">
        <w:rPr>
          <w:rFonts w:ascii="Arial" w:hAnsi="Arial" w:cs="Arial"/>
          <w:sz w:val="22"/>
          <w:szCs w:val="22"/>
          <w:lang w:val="en-US"/>
        </w:rPr>
        <w:t>101</w:t>
      </w:r>
      <w:r w:rsidR="00AB61C7" w:rsidRPr="00B15162">
        <w:rPr>
          <w:rFonts w:ascii="Arial" w:hAnsi="Arial" w:cs="Arial"/>
          <w:sz w:val="22"/>
          <w:szCs w:val="22"/>
          <w:lang w:val="en-US"/>
        </w:rPr>
        <w:t xml:space="preserve">). </w:t>
      </w:r>
      <w:r w:rsidR="00BC4DA8" w:rsidRPr="00B15162">
        <w:rPr>
          <w:rFonts w:ascii="Arial" w:hAnsi="Arial" w:cs="Arial"/>
          <w:sz w:val="22"/>
          <w:szCs w:val="22"/>
          <w:lang w:val="en-US"/>
        </w:rPr>
        <w:t xml:space="preserve">High-resolution peripheral quantitative computed tomography has described the beneficial short-term effects of one year of denosumab treatment on bone structure, microarchitecture, and strength in kidney transplant recipients </w:t>
      </w:r>
      <w:r w:rsidR="00160222" w:rsidRPr="00B15162">
        <w:rPr>
          <w:rFonts w:ascii="Arial" w:hAnsi="Arial" w:cs="Arial"/>
          <w:sz w:val="22"/>
          <w:szCs w:val="22"/>
          <w:lang w:val="en-US"/>
        </w:rPr>
        <w:t>(10</w:t>
      </w:r>
      <w:r w:rsidR="007A5F19" w:rsidRPr="00B15162">
        <w:rPr>
          <w:rFonts w:ascii="Arial" w:hAnsi="Arial" w:cs="Arial"/>
          <w:sz w:val="22"/>
          <w:szCs w:val="22"/>
          <w:lang w:val="en-US"/>
        </w:rPr>
        <w:t>2</w:t>
      </w:r>
      <w:r w:rsidR="00160222" w:rsidRPr="00B15162">
        <w:rPr>
          <w:rFonts w:ascii="Arial" w:hAnsi="Arial" w:cs="Arial"/>
          <w:sz w:val="22"/>
          <w:szCs w:val="22"/>
          <w:lang w:val="en-US"/>
        </w:rPr>
        <w:t>).</w:t>
      </w:r>
    </w:p>
    <w:p w14:paraId="3CED5B7E"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36837DDD" w14:textId="4E9818DD" w:rsidR="00BC4DA8" w:rsidRDefault="00BC4DA8" w:rsidP="005F2054">
      <w:pPr>
        <w:pStyle w:val="NormalWeb"/>
        <w:spacing w:before="0" w:beforeAutospacing="0" w:after="0" w:afterAutospacing="0" w:line="276" w:lineRule="auto"/>
        <w:rPr>
          <w:rFonts w:ascii="Arial" w:hAnsi="Arial" w:cs="Arial"/>
          <w:sz w:val="22"/>
          <w:szCs w:val="22"/>
          <w:lang w:val="en-US"/>
        </w:rPr>
      </w:pPr>
      <w:r w:rsidRPr="00B15162">
        <w:rPr>
          <w:rFonts w:ascii="Arial" w:hAnsi="Arial" w:cs="Arial"/>
          <w:sz w:val="22"/>
          <w:szCs w:val="22"/>
          <w:lang w:val="en-US"/>
        </w:rPr>
        <w:t xml:space="preserve">In a study with various types of transplants (49 renal, 14 liver, and 15 simultaneous kidney-pancreas transplant recipients), denosumab treatment over one year increased lumbar BMD by 11.5 ± 6.2% and femoral neck BMD by 10.4 ± 8.3%, reducing the prevalence of </w:t>
      </w:r>
      <w:r w:rsidRPr="00B15162">
        <w:rPr>
          <w:rFonts w:ascii="Arial" w:hAnsi="Arial" w:cs="Arial"/>
          <w:sz w:val="22"/>
          <w:szCs w:val="22"/>
          <w:lang w:val="en-US"/>
        </w:rPr>
        <w:lastRenderedPageBreak/>
        <w:t>osteoporosis in the spine by 48% and in the proximal femur by 18%</w:t>
      </w:r>
      <w:r w:rsidR="00160222" w:rsidRPr="00B15162">
        <w:rPr>
          <w:rFonts w:ascii="Arial" w:hAnsi="Arial" w:cs="Arial"/>
          <w:sz w:val="22"/>
          <w:szCs w:val="22"/>
          <w:lang w:val="en-US"/>
        </w:rPr>
        <w:t xml:space="preserve"> (10</w:t>
      </w:r>
      <w:r w:rsidR="007A5F19" w:rsidRPr="00B15162">
        <w:rPr>
          <w:rFonts w:ascii="Arial" w:hAnsi="Arial" w:cs="Arial"/>
          <w:sz w:val="22"/>
          <w:szCs w:val="22"/>
          <w:lang w:val="en-US"/>
        </w:rPr>
        <w:t>3</w:t>
      </w:r>
      <w:r w:rsidR="00160222" w:rsidRPr="00B15162">
        <w:rPr>
          <w:rFonts w:ascii="Arial" w:hAnsi="Arial" w:cs="Arial"/>
          <w:sz w:val="22"/>
          <w:szCs w:val="22"/>
          <w:lang w:val="en-US"/>
        </w:rPr>
        <w:t xml:space="preserve">). </w:t>
      </w:r>
      <w:r w:rsidRPr="00B15162">
        <w:rPr>
          <w:rFonts w:ascii="Arial" w:hAnsi="Arial" w:cs="Arial"/>
          <w:sz w:val="22"/>
          <w:szCs w:val="22"/>
          <w:lang w:val="en-US"/>
        </w:rPr>
        <w:t xml:space="preserve">In a 4-year trial, denosumab was linked to a significant increase in BMD (9.0 ± 10.7% in the lumbar spine and 3.8 ± 7.9% in the total hip) in renal transplant patients, while the control group showed lower increases in BMD at all sites </w:t>
      </w:r>
      <w:r w:rsidR="00160222" w:rsidRPr="00B15162">
        <w:rPr>
          <w:rFonts w:ascii="Arial" w:hAnsi="Arial" w:cs="Arial"/>
          <w:sz w:val="22"/>
          <w:szCs w:val="22"/>
          <w:lang w:val="en-US"/>
        </w:rPr>
        <w:t>(10</w:t>
      </w:r>
      <w:r w:rsidR="007A5F19" w:rsidRPr="00B15162">
        <w:rPr>
          <w:rFonts w:ascii="Arial" w:hAnsi="Arial" w:cs="Arial"/>
          <w:sz w:val="22"/>
          <w:szCs w:val="22"/>
          <w:lang w:val="en-US"/>
        </w:rPr>
        <w:t>4</w:t>
      </w:r>
      <w:r w:rsidR="00160222" w:rsidRPr="00B15162">
        <w:rPr>
          <w:rFonts w:ascii="Arial" w:hAnsi="Arial" w:cs="Arial"/>
          <w:sz w:val="22"/>
          <w:szCs w:val="22"/>
          <w:lang w:val="en-US"/>
        </w:rPr>
        <w:t>).</w:t>
      </w:r>
    </w:p>
    <w:p w14:paraId="24FB438F" w14:textId="77777777" w:rsidR="00B15162" w:rsidRPr="00B15162" w:rsidRDefault="00B15162" w:rsidP="005F2054">
      <w:pPr>
        <w:pStyle w:val="NormalWeb"/>
        <w:spacing w:before="0" w:beforeAutospacing="0" w:after="0" w:afterAutospacing="0" w:line="276" w:lineRule="auto"/>
        <w:rPr>
          <w:rFonts w:ascii="Arial" w:hAnsi="Arial" w:cs="Arial"/>
          <w:sz w:val="22"/>
          <w:szCs w:val="22"/>
          <w:lang w:val="en-US"/>
        </w:rPr>
      </w:pPr>
    </w:p>
    <w:p w14:paraId="2FCAB79B" w14:textId="2274F2C1" w:rsidR="00BC4DA8" w:rsidRDefault="00BC4DA8" w:rsidP="005F2054">
      <w:pPr>
        <w:pStyle w:val="NormalWeb"/>
        <w:spacing w:before="0" w:beforeAutospacing="0" w:after="0" w:afterAutospacing="0" w:line="276" w:lineRule="auto"/>
        <w:rPr>
          <w:rFonts w:ascii="Arial" w:hAnsi="Arial" w:cs="Arial"/>
          <w:color w:val="FF0000"/>
          <w:sz w:val="22"/>
          <w:szCs w:val="22"/>
          <w:lang w:val="en-US"/>
        </w:rPr>
      </w:pPr>
      <w:r w:rsidRPr="005F2054">
        <w:rPr>
          <w:rFonts w:ascii="Arial" w:hAnsi="Arial" w:cs="Arial"/>
          <w:sz w:val="22"/>
          <w:szCs w:val="22"/>
          <w:lang w:val="en-US"/>
        </w:rPr>
        <w:t xml:space="preserve">Few studies have evaluated whether denosumab improves densitometric outcomes compared to BFs. A clinical trial involving 85 renal transplant patients compared the impact of denosumab versus BFs after more than 3 years and found that denosumab treatment resulted in a significant increase in bone density in both the lumbar spine and femoral neck compared to the </w:t>
      </w:r>
      <w:r w:rsidR="00156822" w:rsidRPr="005F2054">
        <w:rPr>
          <w:rFonts w:ascii="Arial" w:hAnsi="Arial" w:cs="Arial"/>
          <w:sz w:val="22"/>
          <w:szCs w:val="22"/>
          <w:lang w:val="en-US"/>
        </w:rPr>
        <w:t>BFs</w:t>
      </w:r>
      <w:r w:rsidR="001C48E8" w:rsidRPr="005F2054">
        <w:rPr>
          <w:rFonts w:ascii="Arial" w:hAnsi="Arial" w:cs="Arial"/>
          <w:sz w:val="22"/>
          <w:szCs w:val="22"/>
          <w:lang w:val="en-US"/>
        </w:rPr>
        <w:t xml:space="preserve"> </w:t>
      </w:r>
      <w:r w:rsidR="0057112D" w:rsidRPr="00B15162">
        <w:rPr>
          <w:rFonts w:ascii="Arial" w:hAnsi="Arial" w:cs="Arial"/>
          <w:sz w:val="22"/>
          <w:szCs w:val="22"/>
          <w:lang w:val="en-US"/>
        </w:rPr>
        <w:t xml:space="preserve">group </w:t>
      </w:r>
      <w:r w:rsidR="00160222" w:rsidRPr="00B15162">
        <w:rPr>
          <w:rFonts w:ascii="Arial" w:hAnsi="Arial" w:cs="Arial"/>
          <w:sz w:val="22"/>
          <w:szCs w:val="22"/>
          <w:lang w:val="en-US"/>
        </w:rPr>
        <w:t>(10</w:t>
      </w:r>
      <w:r w:rsidR="007A5F19" w:rsidRPr="00B15162">
        <w:rPr>
          <w:rFonts w:ascii="Arial" w:hAnsi="Arial" w:cs="Arial"/>
          <w:sz w:val="22"/>
          <w:szCs w:val="22"/>
          <w:lang w:val="en-US"/>
        </w:rPr>
        <w:t>5</w:t>
      </w:r>
      <w:r w:rsidR="00160222" w:rsidRPr="00B15162">
        <w:rPr>
          <w:rFonts w:ascii="Arial" w:hAnsi="Arial" w:cs="Arial"/>
          <w:sz w:val="22"/>
          <w:szCs w:val="22"/>
          <w:lang w:val="en-US"/>
        </w:rPr>
        <w:t xml:space="preserve">). </w:t>
      </w:r>
      <w:r w:rsidRPr="00B15162">
        <w:rPr>
          <w:rFonts w:ascii="Arial" w:hAnsi="Arial" w:cs="Arial"/>
          <w:sz w:val="22"/>
          <w:szCs w:val="22"/>
          <w:lang w:val="en-US"/>
        </w:rPr>
        <w:t>A slight increase in mild urinary tract infections and asymptomatic episodes of hypocalcemia (especially in patients with impaired renal function) has been reported with denosumab. To detect hyp</w:t>
      </w:r>
      <w:r w:rsidR="0077487F">
        <w:rPr>
          <w:rFonts w:ascii="Arial" w:hAnsi="Arial" w:cs="Arial"/>
          <w:sz w:val="22"/>
          <w:szCs w:val="22"/>
          <w:lang w:val="en-US"/>
        </w:rPr>
        <w:t>o</w:t>
      </w:r>
      <w:r w:rsidRPr="00B15162">
        <w:rPr>
          <w:rFonts w:ascii="Arial" w:hAnsi="Arial" w:cs="Arial"/>
          <w:sz w:val="22"/>
          <w:szCs w:val="22"/>
          <w:lang w:val="en-US"/>
        </w:rPr>
        <w:t>calcemia, it is recommended to measure corrected serum calcium and 25(OH)D levels 2–4 weeks after the denosumab dose</w:t>
      </w:r>
      <w:r w:rsidR="007857F6" w:rsidRPr="00B15162">
        <w:rPr>
          <w:rFonts w:ascii="Arial" w:hAnsi="Arial" w:cs="Arial"/>
          <w:sz w:val="22"/>
          <w:szCs w:val="22"/>
          <w:lang w:val="en-US"/>
        </w:rPr>
        <w:t xml:space="preserve"> (</w:t>
      </w:r>
      <w:r w:rsidR="007A5F19" w:rsidRPr="00B15162">
        <w:rPr>
          <w:rFonts w:ascii="Arial" w:hAnsi="Arial" w:cs="Arial"/>
          <w:sz w:val="22"/>
          <w:szCs w:val="22"/>
          <w:lang w:val="en-US"/>
        </w:rPr>
        <w:t>106)</w:t>
      </w:r>
      <w:r w:rsidR="00FB43A4" w:rsidRPr="00B15162">
        <w:rPr>
          <w:rFonts w:ascii="Arial" w:hAnsi="Arial" w:cs="Arial"/>
          <w:sz w:val="22"/>
          <w:szCs w:val="22"/>
          <w:lang w:val="en-US"/>
        </w:rPr>
        <w:t xml:space="preserve">. </w:t>
      </w:r>
      <w:r w:rsidRPr="00B15162">
        <w:rPr>
          <w:rFonts w:ascii="Arial" w:hAnsi="Arial" w:cs="Arial"/>
          <w:sz w:val="22"/>
          <w:szCs w:val="22"/>
          <w:lang w:val="en-US"/>
        </w:rPr>
        <w:t xml:space="preserve">No severe </w:t>
      </w:r>
      <w:r w:rsidRPr="005F2054">
        <w:rPr>
          <w:rFonts w:ascii="Arial" w:hAnsi="Arial" w:cs="Arial"/>
          <w:sz w:val="22"/>
          <w:szCs w:val="22"/>
          <w:lang w:val="en-US"/>
        </w:rPr>
        <w:t>complications</w:t>
      </w:r>
      <w:r w:rsidR="00C239EC">
        <w:rPr>
          <w:rFonts w:ascii="Arial" w:hAnsi="Arial" w:cs="Arial"/>
          <w:sz w:val="22"/>
          <w:szCs w:val="22"/>
          <w:lang w:val="en-US"/>
        </w:rPr>
        <w:t xml:space="preserve">, </w:t>
      </w:r>
      <w:r w:rsidRPr="005F2054">
        <w:rPr>
          <w:rFonts w:ascii="Arial" w:hAnsi="Arial" w:cs="Arial"/>
          <w:sz w:val="22"/>
          <w:szCs w:val="22"/>
          <w:lang w:val="en-US"/>
        </w:rPr>
        <w:t>such as osteonecrosis of the jaw</w:t>
      </w:r>
      <w:r w:rsidR="008A7E80">
        <w:rPr>
          <w:rFonts w:ascii="Arial" w:hAnsi="Arial" w:cs="Arial"/>
          <w:sz w:val="22"/>
          <w:szCs w:val="22"/>
          <w:lang w:val="en-US"/>
        </w:rPr>
        <w:t xml:space="preserve">, </w:t>
      </w:r>
      <w:r w:rsidRPr="005F2054">
        <w:rPr>
          <w:rFonts w:ascii="Arial" w:hAnsi="Arial" w:cs="Arial"/>
          <w:sz w:val="22"/>
          <w:szCs w:val="22"/>
          <w:lang w:val="en-US"/>
        </w:rPr>
        <w:t>have been reported in transplant patients using denosumab. As for vertebral fractures observed in postmenopausal osteoporosis following denosumab discontinuation, this complication has not been evaluated in transplant patients</w:t>
      </w:r>
      <w:r w:rsidR="00160222" w:rsidRPr="005F2054">
        <w:rPr>
          <w:rFonts w:ascii="Arial" w:hAnsi="Arial" w:cs="Arial"/>
          <w:color w:val="FF0000"/>
          <w:sz w:val="22"/>
          <w:szCs w:val="22"/>
          <w:lang w:val="en-US"/>
        </w:rPr>
        <w:t>.</w:t>
      </w:r>
    </w:p>
    <w:p w14:paraId="1288CCD6" w14:textId="77777777" w:rsidR="00B15162" w:rsidRPr="005F2054" w:rsidRDefault="00B15162" w:rsidP="005F2054">
      <w:pPr>
        <w:pStyle w:val="NormalWeb"/>
        <w:spacing w:before="0" w:beforeAutospacing="0" w:after="0" w:afterAutospacing="0" w:line="276" w:lineRule="auto"/>
        <w:rPr>
          <w:rFonts w:ascii="Arial" w:hAnsi="Arial" w:cs="Arial"/>
          <w:sz w:val="22"/>
          <w:szCs w:val="22"/>
          <w:lang w:val="en-US"/>
        </w:rPr>
      </w:pPr>
    </w:p>
    <w:p w14:paraId="2B39D46C" w14:textId="317485AF" w:rsidR="0057112D" w:rsidRPr="00B15162" w:rsidRDefault="00BC4DA8"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In summary, the available studies demonstrate that short- and medium-term use of denosumab is a useful option for treating osteoporosis in patients who have undergone organ transplantation. Its use should be considered, particularly in patients with established chronic kidney disease where bisphosphonates may be contraindicated. Moreover, a sub-analysis of the FREEDOM study showed that the reduction in fracture risk remained similar in patients with chronic kidney disease stages I to IV, suggesting that denosumab could be highly beneficial for this group of </w:t>
      </w:r>
      <w:r w:rsidRPr="00B15162">
        <w:rPr>
          <w:rFonts w:ascii="Arial" w:hAnsi="Arial" w:cs="Arial"/>
          <w:sz w:val="22"/>
          <w:szCs w:val="22"/>
          <w:lang w:val="en-US"/>
        </w:rPr>
        <w:t>patients</w:t>
      </w:r>
      <w:r w:rsidR="00160222" w:rsidRPr="00B15162">
        <w:rPr>
          <w:rFonts w:ascii="Arial" w:hAnsi="Arial" w:cs="Arial"/>
          <w:sz w:val="22"/>
          <w:szCs w:val="22"/>
          <w:lang w:val="en-US"/>
        </w:rPr>
        <w:t xml:space="preserve"> (10</w:t>
      </w:r>
      <w:r w:rsidR="007A5F19" w:rsidRPr="00B15162">
        <w:rPr>
          <w:rFonts w:ascii="Arial" w:hAnsi="Arial" w:cs="Arial"/>
          <w:sz w:val="22"/>
          <w:szCs w:val="22"/>
          <w:lang w:val="en-US"/>
        </w:rPr>
        <w:t>7</w:t>
      </w:r>
      <w:r w:rsidR="00160222" w:rsidRPr="00B15162">
        <w:rPr>
          <w:rFonts w:ascii="Arial" w:hAnsi="Arial" w:cs="Arial"/>
          <w:sz w:val="22"/>
          <w:szCs w:val="22"/>
          <w:lang w:val="en-US"/>
        </w:rPr>
        <w:t>).</w:t>
      </w:r>
    </w:p>
    <w:p w14:paraId="5E395773" w14:textId="77777777" w:rsidR="00BC4DA8" w:rsidRPr="005F2054" w:rsidRDefault="00BC4DA8" w:rsidP="005F2054">
      <w:pPr>
        <w:pStyle w:val="NormalWeb"/>
        <w:spacing w:before="0" w:beforeAutospacing="0" w:after="0" w:afterAutospacing="0" w:line="276" w:lineRule="auto"/>
        <w:rPr>
          <w:rFonts w:ascii="Arial" w:hAnsi="Arial" w:cs="Arial"/>
          <w:b/>
          <w:bCs/>
          <w:color w:val="C00000"/>
          <w:sz w:val="22"/>
          <w:szCs w:val="22"/>
          <w:lang w:val="en-US"/>
        </w:rPr>
      </w:pPr>
    </w:p>
    <w:p w14:paraId="41EAB81C" w14:textId="77777777" w:rsidR="002B6A9F" w:rsidRPr="002B6A9F" w:rsidRDefault="003A0268" w:rsidP="005F2054">
      <w:pPr>
        <w:pStyle w:val="NormalWeb"/>
        <w:spacing w:before="0" w:beforeAutospacing="0" w:after="0" w:afterAutospacing="0" w:line="276" w:lineRule="auto"/>
        <w:rPr>
          <w:rFonts w:ascii="Arial" w:hAnsi="Arial" w:cs="Arial"/>
          <w:color w:val="C00000"/>
          <w:sz w:val="22"/>
          <w:szCs w:val="22"/>
          <w:lang w:val="en-US"/>
        </w:rPr>
      </w:pPr>
      <w:r w:rsidRPr="002B6A9F">
        <w:rPr>
          <w:rFonts w:ascii="Arial" w:hAnsi="Arial" w:cs="Arial"/>
          <w:color w:val="C00000"/>
          <w:sz w:val="22"/>
          <w:szCs w:val="22"/>
          <w:lang w:val="en-US"/>
        </w:rPr>
        <w:t>TERIPARATIDE</w:t>
      </w:r>
    </w:p>
    <w:p w14:paraId="4A854022" w14:textId="77777777" w:rsidR="002B6A9F" w:rsidRDefault="002B6A9F" w:rsidP="005F2054">
      <w:pPr>
        <w:pStyle w:val="NormalWeb"/>
        <w:spacing w:before="0" w:beforeAutospacing="0" w:after="0" w:afterAutospacing="0" w:line="276" w:lineRule="auto"/>
        <w:rPr>
          <w:rFonts w:ascii="Arial" w:hAnsi="Arial" w:cs="Arial"/>
          <w:b/>
          <w:bCs/>
          <w:color w:val="C00000"/>
          <w:sz w:val="22"/>
          <w:szCs w:val="22"/>
          <w:lang w:val="en-US"/>
        </w:rPr>
      </w:pPr>
    </w:p>
    <w:p w14:paraId="355DF326" w14:textId="64A5DFBD" w:rsidR="005F0FAA" w:rsidRDefault="00BC4DA8"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Teriparatide is a fragment of parathyroid hormone comprising amino acids 1–34, retaining the activity of the intact peptide. It is an anabolic agent with proven efficacy in reducing both vertebral and non-vertebral fracture risk in postmenopausal women with </w:t>
      </w:r>
      <w:r w:rsidRPr="002B6A9F">
        <w:rPr>
          <w:rFonts w:ascii="Arial" w:hAnsi="Arial" w:cs="Arial"/>
          <w:sz w:val="22"/>
          <w:szCs w:val="22"/>
          <w:lang w:val="en-US"/>
        </w:rPr>
        <w:t xml:space="preserve">osteoporosis </w:t>
      </w:r>
      <w:r w:rsidR="00284722" w:rsidRPr="002B6A9F">
        <w:rPr>
          <w:rFonts w:ascii="Arial" w:hAnsi="Arial" w:cs="Arial"/>
          <w:sz w:val="22"/>
          <w:szCs w:val="22"/>
          <w:lang w:val="en-US"/>
        </w:rPr>
        <w:t>(10</w:t>
      </w:r>
      <w:r w:rsidR="007A5F19" w:rsidRPr="002B6A9F">
        <w:rPr>
          <w:rFonts w:ascii="Arial" w:hAnsi="Arial" w:cs="Arial"/>
          <w:sz w:val="22"/>
          <w:szCs w:val="22"/>
          <w:lang w:val="en-US"/>
        </w:rPr>
        <w:t>8</w:t>
      </w:r>
      <w:r w:rsidR="00284722" w:rsidRPr="002B6A9F">
        <w:rPr>
          <w:rFonts w:ascii="Arial" w:hAnsi="Arial" w:cs="Arial"/>
          <w:sz w:val="22"/>
          <w:szCs w:val="22"/>
          <w:lang w:val="en-US"/>
        </w:rPr>
        <w:t xml:space="preserve">). </w:t>
      </w:r>
      <w:r w:rsidRPr="005F2054">
        <w:rPr>
          <w:rFonts w:ascii="Arial" w:hAnsi="Arial" w:cs="Arial"/>
          <w:sz w:val="22"/>
          <w:szCs w:val="22"/>
          <w:lang w:val="en-US"/>
        </w:rPr>
        <w:t xml:space="preserve">However, </w:t>
      </w:r>
      <w:proofErr w:type="gramStart"/>
      <w:r w:rsidRPr="005F2054">
        <w:rPr>
          <w:rFonts w:ascii="Arial" w:hAnsi="Arial" w:cs="Arial"/>
          <w:sz w:val="22"/>
          <w:szCs w:val="22"/>
          <w:lang w:val="en-US"/>
        </w:rPr>
        <w:t>similar to</w:t>
      </w:r>
      <w:proofErr w:type="gramEnd"/>
      <w:r w:rsidRPr="005F2054">
        <w:rPr>
          <w:rFonts w:ascii="Arial" w:hAnsi="Arial" w:cs="Arial"/>
          <w:sz w:val="22"/>
          <w:szCs w:val="22"/>
          <w:lang w:val="en-US"/>
        </w:rPr>
        <w:t xml:space="preserve"> denosumab, publications evaluating the use of teriparatide in solid organ transplant patients are limited</w:t>
      </w:r>
      <w:r w:rsidR="005F0FAA" w:rsidRPr="005F2054">
        <w:rPr>
          <w:rFonts w:ascii="Arial" w:hAnsi="Arial" w:cs="Arial"/>
          <w:sz w:val="22"/>
          <w:szCs w:val="22"/>
          <w:lang w:val="en-US"/>
        </w:rPr>
        <w:t>.</w:t>
      </w:r>
    </w:p>
    <w:p w14:paraId="3E082C1A" w14:textId="77777777" w:rsidR="002B6A9F" w:rsidRPr="005F2054" w:rsidRDefault="002B6A9F" w:rsidP="005F2054">
      <w:pPr>
        <w:pStyle w:val="NormalWeb"/>
        <w:spacing w:before="0" w:beforeAutospacing="0" w:after="0" w:afterAutospacing="0" w:line="276" w:lineRule="auto"/>
        <w:rPr>
          <w:rFonts w:ascii="Arial" w:hAnsi="Arial" w:cs="Arial"/>
          <w:sz w:val="22"/>
          <w:szCs w:val="22"/>
          <w:lang w:val="en-US"/>
        </w:rPr>
      </w:pPr>
    </w:p>
    <w:p w14:paraId="7045C800" w14:textId="459A3220" w:rsidR="005F0FAA" w:rsidRDefault="00BC4DA8"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In a 6-month clinical trial, 26 renal transplant patients received either teriparatide or a placebo. In the teriparatide-treated group, no improvement in BMD at the femoral neck, lumbar spine, or distal radius was observed; rather, BMD remained stable. In contrast, patients receiving a placebo experienced a decrease in femoral neck bone mass over the 6-month study </w:t>
      </w:r>
      <w:r w:rsidRPr="002B6A9F">
        <w:rPr>
          <w:rFonts w:ascii="Arial" w:hAnsi="Arial" w:cs="Arial"/>
          <w:sz w:val="22"/>
          <w:szCs w:val="22"/>
          <w:lang w:val="en-US"/>
        </w:rPr>
        <w:t xml:space="preserve">period </w:t>
      </w:r>
      <w:r w:rsidR="00284722" w:rsidRPr="002B6A9F">
        <w:rPr>
          <w:rFonts w:ascii="Arial" w:hAnsi="Arial" w:cs="Arial"/>
          <w:sz w:val="22"/>
          <w:szCs w:val="22"/>
          <w:lang w:val="en-US"/>
        </w:rPr>
        <w:t>(10</w:t>
      </w:r>
      <w:r w:rsidR="007A5F19" w:rsidRPr="002B6A9F">
        <w:rPr>
          <w:rFonts w:ascii="Arial" w:hAnsi="Arial" w:cs="Arial"/>
          <w:sz w:val="22"/>
          <w:szCs w:val="22"/>
          <w:lang w:val="en-US"/>
        </w:rPr>
        <w:t>9</w:t>
      </w:r>
      <w:r w:rsidR="00284722" w:rsidRPr="002B6A9F">
        <w:rPr>
          <w:rFonts w:ascii="Arial" w:hAnsi="Arial" w:cs="Arial"/>
          <w:sz w:val="22"/>
          <w:szCs w:val="22"/>
          <w:lang w:val="en-US"/>
        </w:rPr>
        <w:t>).</w:t>
      </w:r>
    </w:p>
    <w:p w14:paraId="7CAA39FB" w14:textId="77777777" w:rsidR="002B6A9F" w:rsidRPr="002B6A9F" w:rsidRDefault="002B6A9F" w:rsidP="005F2054">
      <w:pPr>
        <w:pStyle w:val="NormalWeb"/>
        <w:spacing w:before="0" w:beforeAutospacing="0" w:after="0" w:afterAutospacing="0" w:line="276" w:lineRule="auto"/>
        <w:rPr>
          <w:rFonts w:ascii="Arial" w:hAnsi="Arial" w:cs="Arial"/>
          <w:sz w:val="22"/>
          <w:szCs w:val="22"/>
          <w:lang w:val="en-US"/>
        </w:rPr>
      </w:pPr>
    </w:p>
    <w:p w14:paraId="575A33EC" w14:textId="77777777" w:rsidR="008A7E80" w:rsidRDefault="00BC4DA8"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In another study, teriparatide treatment in 18 renal transplant patients was associated with a significant improvement in lumbar spine BMD after 1 year, stability of total hip bone mass, and a significant increase in femoral neck BMD after 2 years of </w:t>
      </w:r>
      <w:r w:rsidRPr="008A7E80">
        <w:rPr>
          <w:rFonts w:ascii="Arial" w:hAnsi="Arial" w:cs="Arial"/>
          <w:sz w:val="22"/>
          <w:szCs w:val="22"/>
          <w:lang w:val="en-US"/>
        </w:rPr>
        <w:t xml:space="preserve">treatment </w:t>
      </w:r>
      <w:r w:rsidR="00284722" w:rsidRPr="008A7E80">
        <w:rPr>
          <w:rFonts w:ascii="Arial" w:hAnsi="Arial" w:cs="Arial"/>
          <w:sz w:val="22"/>
          <w:szCs w:val="22"/>
          <w:lang w:val="en-US"/>
        </w:rPr>
        <w:t>(1</w:t>
      </w:r>
      <w:r w:rsidR="007A5F19" w:rsidRPr="008A7E80">
        <w:rPr>
          <w:rFonts w:ascii="Arial" w:hAnsi="Arial" w:cs="Arial"/>
          <w:sz w:val="22"/>
          <w:szCs w:val="22"/>
          <w:lang w:val="en-US"/>
        </w:rPr>
        <w:t>10</w:t>
      </w:r>
      <w:r w:rsidR="00284722" w:rsidRPr="008A7E80">
        <w:rPr>
          <w:rFonts w:ascii="Arial" w:hAnsi="Arial" w:cs="Arial"/>
          <w:sz w:val="22"/>
          <w:szCs w:val="22"/>
          <w:lang w:val="en-US"/>
        </w:rPr>
        <w:t xml:space="preserve">). </w:t>
      </w:r>
      <w:r w:rsidR="00B45B0C" w:rsidRPr="008A7E80">
        <w:rPr>
          <w:rFonts w:ascii="Arial" w:hAnsi="Arial" w:cs="Arial"/>
          <w:sz w:val="22"/>
          <w:szCs w:val="22"/>
          <w:lang w:val="en-US"/>
        </w:rPr>
        <w:t xml:space="preserve">No </w:t>
      </w:r>
      <w:r w:rsidR="00B45B0C" w:rsidRPr="005F2054">
        <w:rPr>
          <w:rFonts w:ascii="Arial" w:hAnsi="Arial" w:cs="Arial"/>
          <w:sz w:val="22"/>
          <w:szCs w:val="22"/>
          <w:lang w:val="en-US"/>
        </w:rPr>
        <w:t xml:space="preserve">changes were observed in bone microarchitecture, as assessed by the Trabecular Bone Score. </w:t>
      </w:r>
    </w:p>
    <w:p w14:paraId="5FE7CC73" w14:textId="77777777" w:rsidR="008A7E80" w:rsidRDefault="008A7E80" w:rsidP="005F2054">
      <w:pPr>
        <w:pStyle w:val="NormalWeb"/>
        <w:spacing w:before="0" w:beforeAutospacing="0" w:after="0" w:afterAutospacing="0" w:line="276" w:lineRule="auto"/>
        <w:rPr>
          <w:rFonts w:ascii="Arial" w:hAnsi="Arial" w:cs="Arial"/>
          <w:sz w:val="22"/>
          <w:szCs w:val="22"/>
          <w:lang w:val="en-US"/>
        </w:rPr>
      </w:pPr>
    </w:p>
    <w:p w14:paraId="4016A7FA" w14:textId="3A86C95D" w:rsidR="005F0FAA" w:rsidRDefault="00B45B0C"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Teriparatide was generally well tolerated, with isolated episodes of mild and transient hypercalcemia and hypophosphatemia</w:t>
      </w:r>
      <w:r w:rsidR="005F0FAA" w:rsidRPr="005F2054">
        <w:rPr>
          <w:rFonts w:ascii="Arial" w:hAnsi="Arial" w:cs="Arial"/>
          <w:sz w:val="22"/>
          <w:szCs w:val="22"/>
          <w:lang w:val="en-US"/>
        </w:rPr>
        <w:t>.</w:t>
      </w:r>
    </w:p>
    <w:p w14:paraId="16379E51" w14:textId="77777777" w:rsidR="002B6A9F" w:rsidRPr="005F2054" w:rsidRDefault="002B6A9F" w:rsidP="005F2054">
      <w:pPr>
        <w:pStyle w:val="NormalWeb"/>
        <w:spacing w:before="0" w:beforeAutospacing="0" w:after="0" w:afterAutospacing="0" w:line="276" w:lineRule="auto"/>
        <w:rPr>
          <w:rFonts w:ascii="Arial" w:hAnsi="Arial" w:cs="Arial"/>
          <w:sz w:val="22"/>
          <w:szCs w:val="22"/>
          <w:lang w:val="en-US"/>
        </w:rPr>
      </w:pPr>
    </w:p>
    <w:p w14:paraId="61B5898C" w14:textId="4DDE336E" w:rsidR="00284722" w:rsidRPr="002B6A9F" w:rsidRDefault="00B45B0C"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lastRenderedPageBreak/>
        <w:t xml:space="preserve">In a separate retrospective study of renal transplant patients with osteoporosis, the differences in BMD after 1 year of treatment with alendronate or teriparatide were evaluated. Teriparatide was associated with a significant improvement in BMD at all sites, while bisphosphonate use was linked to a lower rate of </w:t>
      </w:r>
      <w:r w:rsidRPr="002B6A9F">
        <w:rPr>
          <w:rFonts w:ascii="Arial" w:hAnsi="Arial" w:cs="Arial"/>
          <w:sz w:val="22"/>
          <w:szCs w:val="22"/>
          <w:lang w:val="en-US"/>
        </w:rPr>
        <w:t xml:space="preserve">complications </w:t>
      </w:r>
      <w:r w:rsidR="00284722" w:rsidRPr="002B6A9F">
        <w:rPr>
          <w:rFonts w:ascii="Arial" w:hAnsi="Arial" w:cs="Arial"/>
          <w:sz w:val="22"/>
          <w:szCs w:val="22"/>
          <w:lang w:val="en-US"/>
        </w:rPr>
        <w:t>(1</w:t>
      </w:r>
      <w:r w:rsidR="007A5F19" w:rsidRPr="002B6A9F">
        <w:rPr>
          <w:rFonts w:ascii="Arial" w:hAnsi="Arial" w:cs="Arial"/>
          <w:sz w:val="22"/>
          <w:szCs w:val="22"/>
          <w:lang w:val="en-US"/>
        </w:rPr>
        <w:t>11</w:t>
      </w:r>
      <w:r w:rsidR="00284722" w:rsidRPr="002B6A9F">
        <w:rPr>
          <w:rFonts w:ascii="Arial" w:hAnsi="Arial" w:cs="Arial"/>
          <w:sz w:val="22"/>
          <w:szCs w:val="22"/>
          <w:lang w:val="en-US"/>
        </w:rPr>
        <w:t xml:space="preserve">). </w:t>
      </w:r>
    </w:p>
    <w:p w14:paraId="384585F8" w14:textId="77777777" w:rsidR="003A0268" w:rsidRPr="005F2054" w:rsidRDefault="003A0268" w:rsidP="005F2054">
      <w:pPr>
        <w:pStyle w:val="NormalWeb"/>
        <w:spacing w:before="0" w:beforeAutospacing="0" w:after="0" w:afterAutospacing="0" w:line="276" w:lineRule="auto"/>
        <w:rPr>
          <w:rFonts w:ascii="Arial" w:hAnsi="Arial" w:cs="Arial"/>
          <w:sz w:val="22"/>
          <w:szCs w:val="22"/>
          <w:lang w:val="en-US"/>
        </w:rPr>
      </w:pPr>
    </w:p>
    <w:p w14:paraId="6AB120C7" w14:textId="7966E608" w:rsidR="00646064" w:rsidRDefault="003A0268" w:rsidP="005F2054">
      <w:pPr>
        <w:pStyle w:val="NormalWeb"/>
        <w:spacing w:before="0" w:beforeAutospacing="0" w:after="0" w:afterAutospacing="0" w:line="276" w:lineRule="auto"/>
        <w:rPr>
          <w:rFonts w:ascii="Arial" w:hAnsi="Arial" w:cs="Arial"/>
          <w:b/>
          <w:bCs/>
          <w:color w:val="1F497D" w:themeColor="text2"/>
          <w:sz w:val="22"/>
          <w:szCs w:val="22"/>
          <w:lang w:val="en-US"/>
        </w:rPr>
      </w:pPr>
      <w:r w:rsidRPr="005F2054">
        <w:rPr>
          <w:rFonts w:ascii="Arial" w:hAnsi="Arial" w:cs="Arial"/>
          <w:b/>
          <w:bCs/>
          <w:color w:val="1F497D" w:themeColor="text2"/>
          <w:sz w:val="22"/>
          <w:szCs w:val="22"/>
          <w:lang w:val="en-US"/>
        </w:rPr>
        <w:t>SUMMARY OF TREATMENT APPROACHES</w:t>
      </w:r>
      <w:r w:rsidR="00E90A75" w:rsidRPr="005F2054">
        <w:rPr>
          <w:rFonts w:ascii="Arial" w:hAnsi="Arial" w:cs="Arial"/>
          <w:b/>
          <w:bCs/>
          <w:color w:val="1F497D" w:themeColor="text2"/>
          <w:sz w:val="22"/>
          <w:szCs w:val="22"/>
          <w:lang w:val="en-US"/>
        </w:rPr>
        <w:t>. WHEN TO START AND STOP ANTIRESORPTIVE THERAPY</w:t>
      </w:r>
    </w:p>
    <w:p w14:paraId="069D97D8" w14:textId="77777777" w:rsidR="002B6A9F" w:rsidRPr="005F2054" w:rsidRDefault="002B6A9F" w:rsidP="005F2054">
      <w:pPr>
        <w:pStyle w:val="NormalWeb"/>
        <w:spacing w:before="0" w:beforeAutospacing="0" w:after="0" w:afterAutospacing="0" w:line="276" w:lineRule="auto"/>
        <w:rPr>
          <w:rFonts w:ascii="Arial" w:hAnsi="Arial" w:cs="Arial"/>
          <w:b/>
          <w:bCs/>
          <w:color w:val="1F497D" w:themeColor="text2"/>
          <w:sz w:val="22"/>
          <w:szCs w:val="22"/>
          <w:lang w:val="en-US"/>
        </w:rPr>
      </w:pPr>
    </w:p>
    <w:p w14:paraId="184C2712" w14:textId="7CEB6BAE" w:rsidR="008024F4" w:rsidRDefault="008024F4"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The Bone Health and Osteoporosis Foundation has made the following </w:t>
      </w:r>
      <w:r w:rsidR="00B45B0C" w:rsidRPr="005F2054">
        <w:rPr>
          <w:rFonts w:ascii="Arial" w:hAnsi="Arial" w:cs="Arial"/>
          <w:sz w:val="22"/>
          <w:szCs w:val="22"/>
          <w:lang w:val="en-US"/>
        </w:rPr>
        <w:t xml:space="preserve">recommendations </w:t>
      </w:r>
      <w:r w:rsidRPr="005F2054">
        <w:rPr>
          <w:rFonts w:ascii="Arial" w:hAnsi="Arial" w:cs="Arial"/>
          <w:sz w:val="22"/>
          <w:szCs w:val="22"/>
          <w:lang w:val="en-US"/>
        </w:rPr>
        <w:t>for initiating pharmacologic therapy:</w:t>
      </w:r>
    </w:p>
    <w:p w14:paraId="5D94D9DC" w14:textId="77777777" w:rsidR="002B6A9F" w:rsidRPr="005F2054" w:rsidRDefault="002B6A9F" w:rsidP="005F2054">
      <w:pPr>
        <w:pStyle w:val="NormalWeb"/>
        <w:spacing w:before="0" w:beforeAutospacing="0" w:after="0" w:afterAutospacing="0" w:line="276" w:lineRule="auto"/>
        <w:rPr>
          <w:rFonts w:ascii="Arial" w:hAnsi="Arial" w:cs="Arial"/>
          <w:sz w:val="22"/>
          <w:szCs w:val="22"/>
          <w:lang w:val="en-US"/>
        </w:rPr>
      </w:pPr>
    </w:p>
    <w:p w14:paraId="3C83986F" w14:textId="23E4A435" w:rsidR="008024F4" w:rsidRPr="005F2054" w:rsidRDefault="008024F4"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1</w:t>
      </w:r>
      <w:r w:rsidR="008343D0" w:rsidRPr="005F2054">
        <w:rPr>
          <w:rFonts w:ascii="Arial" w:hAnsi="Arial" w:cs="Arial"/>
          <w:sz w:val="22"/>
          <w:szCs w:val="22"/>
          <w:lang w:val="en-US"/>
        </w:rPr>
        <w:t xml:space="preserve">. </w:t>
      </w:r>
      <w:r w:rsidRPr="005F2054">
        <w:rPr>
          <w:rFonts w:ascii="Arial" w:hAnsi="Arial" w:cs="Arial"/>
          <w:sz w:val="22"/>
          <w:szCs w:val="22"/>
          <w:lang w:val="en-US"/>
        </w:rPr>
        <w:t>Patients with lumbar, femoral neck, or total hip BMD T-score ≤-2.5</w:t>
      </w:r>
      <w:r w:rsidR="007978C2">
        <w:rPr>
          <w:rFonts w:ascii="Arial" w:hAnsi="Arial" w:cs="Arial"/>
          <w:sz w:val="22"/>
          <w:szCs w:val="22"/>
          <w:lang w:val="en-US"/>
        </w:rPr>
        <w:t>.</w:t>
      </w:r>
      <w:r w:rsidRPr="005F2054">
        <w:rPr>
          <w:rFonts w:ascii="Arial" w:hAnsi="Arial" w:cs="Arial"/>
          <w:sz w:val="22"/>
          <w:szCs w:val="22"/>
          <w:lang w:val="en-US"/>
        </w:rPr>
        <w:t xml:space="preserve">   </w:t>
      </w:r>
    </w:p>
    <w:p w14:paraId="1F7BAB53" w14:textId="31DDC53E" w:rsidR="008024F4" w:rsidRPr="005F2054" w:rsidRDefault="008024F4"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2</w:t>
      </w:r>
      <w:r w:rsidR="008343D0" w:rsidRPr="005F2054">
        <w:rPr>
          <w:rFonts w:ascii="Arial" w:hAnsi="Arial" w:cs="Arial"/>
          <w:sz w:val="22"/>
          <w:szCs w:val="22"/>
          <w:lang w:val="en-US"/>
        </w:rPr>
        <w:t xml:space="preserve">. </w:t>
      </w:r>
      <w:r w:rsidRPr="005F2054">
        <w:rPr>
          <w:rFonts w:ascii="Arial" w:hAnsi="Arial" w:cs="Arial"/>
          <w:sz w:val="22"/>
          <w:szCs w:val="22"/>
          <w:lang w:val="en-US"/>
        </w:rPr>
        <w:t>Postmenopausal women and men aged ≥50 years with lumbar, femoral neck</w:t>
      </w:r>
      <w:r w:rsidR="007978C2">
        <w:rPr>
          <w:rFonts w:ascii="Arial" w:hAnsi="Arial" w:cs="Arial"/>
          <w:sz w:val="22"/>
          <w:szCs w:val="22"/>
          <w:lang w:val="en-US"/>
        </w:rPr>
        <w:t>,</w:t>
      </w:r>
      <w:r w:rsidRPr="005F2054">
        <w:rPr>
          <w:rFonts w:ascii="Arial" w:hAnsi="Arial" w:cs="Arial"/>
          <w:sz w:val="22"/>
          <w:szCs w:val="22"/>
          <w:lang w:val="en-US"/>
        </w:rPr>
        <w:t xml:space="preserve"> or total hip </w:t>
      </w:r>
      <w:r w:rsidR="00B45B0C" w:rsidRPr="005F2054">
        <w:rPr>
          <w:rFonts w:ascii="Arial" w:hAnsi="Arial" w:cs="Arial"/>
          <w:sz w:val="22"/>
          <w:szCs w:val="22"/>
          <w:lang w:val="en-US"/>
        </w:rPr>
        <w:t xml:space="preserve">BMD </w:t>
      </w:r>
      <w:r w:rsidRPr="005F2054">
        <w:rPr>
          <w:rFonts w:ascii="Arial" w:hAnsi="Arial" w:cs="Arial"/>
          <w:sz w:val="22"/>
          <w:szCs w:val="22"/>
          <w:lang w:val="en-US"/>
        </w:rPr>
        <w:t>between -1.0 and -2.5 and a 10-year probability of a hip fracture ≥3% or a 10-year probability of a major osteoporosis-related fracture ≥20%</w:t>
      </w:r>
      <w:r w:rsidR="007978C2">
        <w:rPr>
          <w:rFonts w:ascii="Arial" w:hAnsi="Arial" w:cs="Arial"/>
          <w:sz w:val="22"/>
          <w:szCs w:val="22"/>
          <w:lang w:val="en-US"/>
        </w:rPr>
        <w:t>.</w:t>
      </w:r>
    </w:p>
    <w:p w14:paraId="66685030" w14:textId="157C4DB6" w:rsidR="008024F4" w:rsidRPr="005F2054" w:rsidRDefault="008024F4"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3</w:t>
      </w:r>
      <w:r w:rsidR="008343D0" w:rsidRPr="005F2054">
        <w:rPr>
          <w:rFonts w:ascii="Arial" w:hAnsi="Arial" w:cs="Arial"/>
          <w:sz w:val="22"/>
          <w:szCs w:val="22"/>
          <w:lang w:val="en-US"/>
        </w:rPr>
        <w:t>.</w:t>
      </w:r>
      <w:r w:rsidRPr="005F2054">
        <w:rPr>
          <w:rFonts w:ascii="Arial" w:hAnsi="Arial" w:cs="Arial"/>
          <w:sz w:val="22"/>
          <w:szCs w:val="22"/>
          <w:lang w:val="en-US"/>
        </w:rPr>
        <w:t xml:space="preserve"> A hip or vertebral fracture regardless of T-score</w:t>
      </w:r>
      <w:r w:rsidR="007978C2">
        <w:rPr>
          <w:rFonts w:ascii="Arial" w:hAnsi="Arial" w:cs="Arial"/>
          <w:sz w:val="22"/>
          <w:szCs w:val="22"/>
          <w:lang w:val="en-US"/>
        </w:rPr>
        <w:t>.</w:t>
      </w:r>
    </w:p>
    <w:p w14:paraId="4AD934C0" w14:textId="3E57F1CE" w:rsidR="008024F4" w:rsidRDefault="008024F4"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4</w:t>
      </w:r>
      <w:r w:rsidR="008343D0" w:rsidRPr="005F2054">
        <w:rPr>
          <w:rFonts w:ascii="Arial" w:hAnsi="Arial" w:cs="Arial"/>
          <w:sz w:val="22"/>
          <w:szCs w:val="22"/>
          <w:lang w:val="en-US"/>
        </w:rPr>
        <w:t>.</w:t>
      </w:r>
      <w:r w:rsidRPr="005F2054">
        <w:rPr>
          <w:rFonts w:ascii="Arial" w:hAnsi="Arial" w:cs="Arial"/>
          <w:sz w:val="22"/>
          <w:szCs w:val="22"/>
          <w:lang w:val="en-US"/>
        </w:rPr>
        <w:t xml:space="preserve"> A pelvis, proximal </w:t>
      </w:r>
      <w:proofErr w:type="gramStart"/>
      <w:r w:rsidRPr="005F2054">
        <w:rPr>
          <w:rFonts w:ascii="Arial" w:hAnsi="Arial" w:cs="Arial"/>
          <w:sz w:val="22"/>
          <w:szCs w:val="22"/>
          <w:lang w:val="en-US"/>
        </w:rPr>
        <w:t>humerus</w:t>
      </w:r>
      <w:proofErr w:type="gramEnd"/>
      <w:r w:rsidR="007978C2">
        <w:rPr>
          <w:rFonts w:ascii="Arial" w:hAnsi="Arial" w:cs="Arial"/>
          <w:sz w:val="22"/>
          <w:szCs w:val="22"/>
          <w:lang w:val="en-US"/>
        </w:rPr>
        <w:t>,</w:t>
      </w:r>
      <w:r w:rsidR="002B1EC8">
        <w:rPr>
          <w:rFonts w:ascii="Arial" w:hAnsi="Arial" w:cs="Arial"/>
          <w:sz w:val="22"/>
          <w:szCs w:val="22"/>
          <w:lang w:val="en-US"/>
        </w:rPr>
        <w:t xml:space="preserve"> </w:t>
      </w:r>
      <w:r w:rsidRPr="005F2054">
        <w:rPr>
          <w:rFonts w:ascii="Arial" w:hAnsi="Arial" w:cs="Arial"/>
          <w:sz w:val="22"/>
          <w:szCs w:val="22"/>
          <w:lang w:val="en-US"/>
        </w:rPr>
        <w:t>or distal forearm fracture in a person with low bone mass or osteopenia.</w:t>
      </w:r>
    </w:p>
    <w:p w14:paraId="11DEDF5A" w14:textId="77777777" w:rsidR="002B6A9F" w:rsidRPr="005F2054" w:rsidRDefault="002B6A9F" w:rsidP="005F2054">
      <w:pPr>
        <w:pStyle w:val="NormalWeb"/>
        <w:spacing w:before="0" w:beforeAutospacing="0" w:after="0" w:afterAutospacing="0" w:line="276" w:lineRule="auto"/>
        <w:rPr>
          <w:rFonts w:ascii="Arial" w:hAnsi="Arial" w:cs="Arial"/>
          <w:sz w:val="22"/>
          <w:szCs w:val="22"/>
          <w:lang w:val="en-US"/>
        </w:rPr>
      </w:pPr>
    </w:p>
    <w:p w14:paraId="579295B3" w14:textId="3877DF9E" w:rsidR="00646064" w:rsidRDefault="00646064"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It is recommended that glucocorticoids be administered at the lowest dose possible, and reduced</w:t>
      </w:r>
      <w:r w:rsidR="00C26A53" w:rsidRPr="005F2054">
        <w:rPr>
          <w:rFonts w:ascii="Arial" w:hAnsi="Arial" w:cs="Arial"/>
          <w:sz w:val="22"/>
          <w:szCs w:val="22"/>
          <w:lang w:val="en-US"/>
        </w:rPr>
        <w:t xml:space="preserve"> or </w:t>
      </w:r>
      <w:r w:rsidRPr="005F2054">
        <w:rPr>
          <w:rFonts w:ascii="Arial" w:hAnsi="Arial" w:cs="Arial"/>
          <w:sz w:val="22"/>
          <w:szCs w:val="22"/>
          <w:lang w:val="en-US"/>
        </w:rPr>
        <w:t xml:space="preserve">withdrawn when </w:t>
      </w:r>
      <w:r w:rsidR="00C26A53" w:rsidRPr="005F2054">
        <w:rPr>
          <w:rFonts w:ascii="Arial" w:hAnsi="Arial" w:cs="Arial"/>
          <w:sz w:val="22"/>
          <w:szCs w:val="22"/>
          <w:lang w:val="en-US"/>
        </w:rPr>
        <w:t>feasible</w:t>
      </w:r>
      <w:r w:rsidRPr="005F2054">
        <w:rPr>
          <w:rFonts w:ascii="Arial" w:hAnsi="Arial" w:cs="Arial"/>
          <w:sz w:val="22"/>
          <w:szCs w:val="22"/>
          <w:lang w:val="en-US"/>
        </w:rPr>
        <w:t xml:space="preserve">, </w:t>
      </w:r>
      <w:proofErr w:type="gramStart"/>
      <w:r w:rsidR="002E13F2" w:rsidRPr="005F2054">
        <w:rPr>
          <w:rFonts w:ascii="Arial" w:hAnsi="Arial" w:cs="Arial"/>
          <w:sz w:val="22"/>
          <w:szCs w:val="22"/>
          <w:lang w:val="en-US"/>
        </w:rPr>
        <w:t xml:space="preserve">in order </w:t>
      </w:r>
      <w:r w:rsidRPr="005F2054">
        <w:rPr>
          <w:rFonts w:ascii="Arial" w:hAnsi="Arial" w:cs="Arial"/>
          <w:sz w:val="22"/>
          <w:szCs w:val="22"/>
          <w:lang w:val="en-US"/>
        </w:rPr>
        <w:t>to</w:t>
      </w:r>
      <w:proofErr w:type="gramEnd"/>
      <w:r w:rsidRPr="005F2054">
        <w:rPr>
          <w:rFonts w:ascii="Arial" w:hAnsi="Arial" w:cs="Arial"/>
          <w:sz w:val="22"/>
          <w:szCs w:val="22"/>
          <w:lang w:val="en-US"/>
        </w:rPr>
        <w:t xml:space="preserve"> </w:t>
      </w:r>
      <w:r w:rsidR="002C23A8" w:rsidRPr="005F2054">
        <w:rPr>
          <w:rFonts w:ascii="Arial" w:hAnsi="Arial" w:cs="Arial"/>
          <w:sz w:val="22"/>
          <w:szCs w:val="22"/>
          <w:lang w:val="en-US"/>
        </w:rPr>
        <w:t>minimize</w:t>
      </w:r>
      <w:r w:rsidR="00C26A53" w:rsidRPr="005F2054">
        <w:rPr>
          <w:rFonts w:ascii="Arial" w:hAnsi="Arial" w:cs="Arial"/>
          <w:sz w:val="22"/>
          <w:szCs w:val="22"/>
          <w:lang w:val="en-US"/>
        </w:rPr>
        <w:t xml:space="preserve"> </w:t>
      </w:r>
      <w:r w:rsidRPr="005F2054">
        <w:rPr>
          <w:rFonts w:ascii="Arial" w:hAnsi="Arial" w:cs="Arial"/>
          <w:sz w:val="22"/>
          <w:szCs w:val="22"/>
          <w:lang w:val="en-US"/>
        </w:rPr>
        <w:t>early bone loss after transplantation.</w:t>
      </w:r>
    </w:p>
    <w:p w14:paraId="4D424F08" w14:textId="77777777" w:rsidR="002B6A9F" w:rsidRPr="005F2054" w:rsidRDefault="002B6A9F" w:rsidP="005F2054">
      <w:pPr>
        <w:pStyle w:val="NormalWeb"/>
        <w:spacing w:before="0" w:beforeAutospacing="0" w:after="0" w:afterAutospacing="0" w:line="276" w:lineRule="auto"/>
        <w:rPr>
          <w:rFonts w:ascii="Arial" w:hAnsi="Arial" w:cs="Arial"/>
          <w:sz w:val="22"/>
          <w:szCs w:val="22"/>
          <w:lang w:val="en-US"/>
        </w:rPr>
      </w:pPr>
    </w:p>
    <w:p w14:paraId="59E3E23F" w14:textId="4E914776" w:rsidR="00646064" w:rsidRDefault="00646064"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Supplementation with calcium and vitamin D is </w:t>
      </w:r>
      <w:r w:rsidR="00C26A53" w:rsidRPr="005F2054">
        <w:rPr>
          <w:rFonts w:ascii="Arial" w:hAnsi="Arial" w:cs="Arial"/>
          <w:sz w:val="22"/>
          <w:szCs w:val="22"/>
          <w:lang w:val="en-US"/>
        </w:rPr>
        <w:t>advised</w:t>
      </w:r>
      <w:r w:rsidR="002E13F2" w:rsidRPr="005F2054">
        <w:rPr>
          <w:rFonts w:ascii="Arial" w:hAnsi="Arial" w:cs="Arial"/>
          <w:sz w:val="22"/>
          <w:szCs w:val="22"/>
          <w:lang w:val="en-US"/>
        </w:rPr>
        <w:t>.</w:t>
      </w:r>
      <w:r w:rsidR="00C26A53" w:rsidRPr="005F2054">
        <w:rPr>
          <w:rFonts w:ascii="Arial" w:hAnsi="Arial" w:cs="Arial"/>
          <w:sz w:val="22"/>
          <w:szCs w:val="22"/>
          <w:lang w:val="en-US"/>
        </w:rPr>
        <w:t xml:space="preserve"> </w:t>
      </w:r>
      <w:r w:rsidRPr="005F2054">
        <w:rPr>
          <w:rFonts w:ascii="Arial" w:hAnsi="Arial" w:cs="Arial"/>
          <w:sz w:val="22"/>
          <w:szCs w:val="22"/>
          <w:lang w:val="en-US"/>
        </w:rPr>
        <w:t>Serum 25OHD levels should be above 50 nmol/</w:t>
      </w:r>
      <w:r w:rsidR="002E13F2" w:rsidRPr="005F2054">
        <w:rPr>
          <w:rFonts w:ascii="Arial" w:hAnsi="Arial" w:cs="Arial"/>
          <w:sz w:val="22"/>
          <w:szCs w:val="22"/>
          <w:lang w:val="en-US"/>
        </w:rPr>
        <w:t>L</w:t>
      </w:r>
      <w:r w:rsidR="00275012" w:rsidRPr="005F2054">
        <w:rPr>
          <w:rFonts w:ascii="Arial" w:hAnsi="Arial" w:cs="Arial"/>
          <w:sz w:val="22"/>
          <w:szCs w:val="22"/>
          <w:lang w:val="en-US"/>
        </w:rPr>
        <w:t>. I</w:t>
      </w:r>
      <w:r w:rsidRPr="005F2054">
        <w:rPr>
          <w:rFonts w:ascii="Arial" w:hAnsi="Arial" w:cs="Arial"/>
          <w:sz w:val="22"/>
          <w:szCs w:val="22"/>
          <w:lang w:val="en-US"/>
        </w:rPr>
        <w:t xml:space="preserve">n kidney transplant </w:t>
      </w:r>
      <w:r w:rsidR="00C26A53" w:rsidRPr="005F2054">
        <w:rPr>
          <w:rFonts w:ascii="Arial" w:hAnsi="Arial" w:cs="Arial"/>
          <w:sz w:val="22"/>
          <w:szCs w:val="22"/>
          <w:lang w:val="en-US"/>
        </w:rPr>
        <w:t xml:space="preserve">recipients; </w:t>
      </w:r>
      <w:proofErr w:type="spellStart"/>
      <w:r w:rsidRPr="005F2054">
        <w:rPr>
          <w:rFonts w:ascii="Arial" w:hAnsi="Arial" w:cs="Arial"/>
          <w:sz w:val="22"/>
          <w:szCs w:val="22"/>
          <w:lang w:val="en-US"/>
        </w:rPr>
        <w:t>alfacalcidiol</w:t>
      </w:r>
      <w:proofErr w:type="spellEnd"/>
      <w:r w:rsidRPr="005F2054">
        <w:rPr>
          <w:rFonts w:ascii="Arial" w:hAnsi="Arial" w:cs="Arial"/>
          <w:sz w:val="22"/>
          <w:szCs w:val="22"/>
          <w:lang w:val="en-US"/>
        </w:rPr>
        <w:t xml:space="preserve"> or calcitriol can be </w:t>
      </w:r>
      <w:r w:rsidR="002E13F2" w:rsidRPr="005F2054">
        <w:rPr>
          <w:rFonts w:ascii="Arial" w:hAnsi="Arial" w:cs="Arial"/>
          <w:sz w:val="22"/>
          <w:szCs w:val="22"/>
          <w:lang w:val="en-US"/>
        </w:rPr>
        <w:t xml:space="preserve">used </w:t>
      </w:r>
      <w:r w:rsidR="00C26A53" w:rsidRPr="005F2054">
        <w:rPr>
          <w:rFonts w:ascii="Arial" w:hAnsi="Arial" w:cs="Arial"/>
          <w:sz w:val="22"/>
          <w:szCs w:val="22"/>
          <w:lang w:val="en-US"/>
        </w:rPr>
        <w:t>d</w:t>
      </w:r>
      <w:r w:rsidRPr="005F2054">
        <w:rPr>
          <w:rFonts w:ascii="Arial" w:hAnsi="Arial" w:cs="Arial"/>
          <w:sz w:val="22"/>
          <w:szCs w:val="22"/>
          <w:lang w:val="en-US"/>
        </w:rPr>
        <w:t>ue to impaired 1 alpha hydroxylation of this metabolite</w:t>
      </w:r>
      <w:r w:rsidR="00764E23" w:rsidRPr="005F2054">
        <w:rPr>
          <w:rFonts w:ascii="Arial" w:hAnsi="Arial" w:cs="Arial"/>
          <w:sz w:val="22"/>
          <w:szCs w:val="22"/>
          <w:lang w:val="en-US"/>
        </w:rPr>
        <w:t xml:space="preserve"> to reduce secondary hyperparathyroidism.</w:t>
      </w:r>
      <w:r w:rsidR="001A6075" w:rsidRPr="005F2054">
        <w:rPr>
          <w:rFonts w:ascii="Arial" w:hAnsi="Arial" w:cs="Arial"/>
          <w:sz w:val="22"/>
          <w:szCs w:val="22"/>
          <w:lang w:val="en-US"/>
        </w:rPr>
        <w:t xml:space="preserve"> </w:t>
      </w:r>
    </w:p>
    <w:p w14:paraId="13C5102F" w14:textId="77777777" w:rsidR="002B6A9F" w:rsidRPr="005F2054" w:rsidRDefault="002B6A9F" w:rsidP="005F2054">
      <w:pPr>
        <w:pStyle w:val="NormalWeb"/>
        <w:spacing w:before="0" w:beforeAutospacing="0" w:after="0" w:afterAutospacing="0" w:line="276" w:lineRule="auto"/>
        <w:rPr>
          <w:rFonts w:ascii="Arial" w:hAnsi="Arial" w:cs="Arial"/>
          <w:sz w:val="22"/>
          <w:szCs w:val="22"/>
          <w:lang w:val="en-US"/>
        </w:rPr>
      </w:pPr>
    </w:p>
    <w:p w14:paraId="62238C3E" w14:textId="69ECDB57" w:rsidR="00CE5F49" w:rsidRPr="005F2054" w:rsidRDefault="00646064"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In the presence of osteoporosis, antiresorptive </w:t>
      </w:r>
      <w:r w:rsidR="002E13F2" w:rsidRPr="005F2054">
        <w:rPr>
          <w:rFonts w:ascii="Arial" w:hAnsi="Arial" w:cs="Arial"/>
          <w:sz w:val="22"/>
          <w:szCs w:val="22"/>
          <w:lang w:val="en-US"/>
        </w:rPr>
        <w:t xml:space="preserve">therapy </w:t>
      </w:r>
      <w:r w:rsidRPr="005F2054">
        <w:rPr>
          <w:rFonts w:ascii="Arial" w:hAnsi="Arial" w:cs="Arial"/>
          <w:sz w:val="22"/>
          <w:szCs w:val="22"/>
          <w:lang w:val="en-US"/>
        </w:rPr>
        <w:t xml:space="preserve">should be </w:t>
      </w:r>
      <w:r w:rsidR="001F16CC" w:rsidRPr="005F2054">
        <w:rPr>
          <w:rFonts w:ascii="Arial" w:hAnsi="Arial" w:cs="Arial"/>
          <w:sz w:val="22"/>
          <w:szCs w:val="22"/>
          <w:lang w:val="en-US"/>
        </w:rPr>
        <w:t>administered</w:t>
      </w:r>
      <w:r w:rsidR="00AF23DC" w:rsidRPr="005F2054">
        <w:rPr>
          <w:rFonts w:ascii="Arial" w:hAnsi="Arial" w:cs="Arial"/>
          <w:sz w:val="22"/>
          <w:szCs w:val="22"/>
          <w:lang w:val="en-US"/>
        </w:rPr>
        <w:t>.</w:t>
      </w:r>
      <w:r w:rsidRPr="005F2054">
        <w:rPr>
          <w:rFonts w:ascii="Arial" w:hAnsi="Arial" w:cs="Arial"/>
          <w:sz w:val="22"/>
          <w:szCs w:val="22"/>
          <w:lang w:val="en-US"/>
        </w:rPr>
        <w:t xml:space="preserve"> B</w:t>
      </w:r>
      <w:r w:rsidR="00B9535A" w:rsidRPr="005F2054">
        <w:rPr>
          <w:rFonts w:ascii="Arial" w:hAnsi="Arial" w:cs="Arial"/>
          <w:sz w:val="22"/>
          <w:szCs w:val="22"/>
          <w:lang w:val="en-US"/>
        </w:rPr>
        <w:t>Fs</w:t>
      </w:r>
      <w:r w:rsidRPr="005F2054">
        <w:rPr>
          <w:rFonts w:ascii="Arial" w:hAnsi="Arial" w:cs="Arial"/>
          <w:sz w:val="22"/>
          <w:szCs w:val="22"/>
          <w:lang w:val="en-US"/>
        </w:rPr>
        <w:t xml:space="preserve"> </w:t>
      </w:r>
      <w:r w:rsidR="00AF23DC" w:rsidRPr="005F2054">
        <w:rPr>
          <w:rFonts w:ascii="Arial" w:hAnsi="Arial" w:cs="Arial"/>
          <w:sz w:val="22"/>
          <w:szCs w:val="22"/>
          <w:lang w:val="en-US"/>
        </w:rPr>
        <w:t>are</w:t>
      </w:r>
      <w:r w:rsidRPr="005F2054">
        <w:rPr>
          <w:rFonts w:ascii="Arial" w:hAnsi="Arial" w:cs="Arial"/>
          <w:sz w:val="22"/>
          <w:szCs w:val="22"/>
          <w:lang w:val="en-US"/>
        </w:rPr>
        <w:t xml:space="preserve"> the most widely used,</w:t>
      </w:r>
      <w:r w:rsidR="00036EE8" w:rsidRPr="005F2054">
        <w:rPr>
          <w:rFonts w:ascii="Arial" w:hAnsi="Arial" w:cs="Arial"/>
          <w:sz w:val="22"/>
          <w:szCs w:val="22"/>
          <w:lang w:val="en-US"/>
        </w:rPr>
        <w:t xml:space="preserve"> </w:t>
      </w:r>
      <w:r w:rsidR="002E13F2" w:rsidRPr="005F2054">
        <w:rPr>
          <w:rFonts w:ascii="Arial" w:hAnsi="Arial" w:cs="Arial"/>
          <w:sz w:val="22"/>
          <w:szCs w:val="22"/>
          <w:lang w:val="en-US"/>
        </w:rPr>
        <w:t xml:space="preserve">while denosumab is an alternative, especially in cases of intolerance to bisphosphonates. For patients with suppressed bone turnover markers, BFs should be avoided due to the potential risk of exacerbating low bone turnover or </w:t>
      </w:r>
      <w:proofErr w:type="gramStart"/>
      <w:r w:rsidR="002E13F2" w:rsidRPr="005F2054">
        <w:rPr>
          <w:rFonts w:ascii="Arial" w:hAnsi="Arial" w:cs="Arial"/>
          <w:sz w:val="22"/>
          <w:szCs w:val="22"/>
          <w:lang w:val="en-US"/>
        </w:rPr>
        <w:t>adynamic</w:t>
      </w:r>
      <w:proofErr w:type="gramEnd"/>
      <w:r w:rsidR="002E13F2" w:rsidRPr="005F2054">
        <w:rPr>
          <w:rFonts w:ascii="Arial" w:hAnsi="Arial" w:cs="Arial"/>
          <w:sz w:val="22"/>
          <w:szCs w:val="22"/>
          <w:lang w:val="en-US"/>
        </w:rPr>
        <w:t xml:space="preserve"> bone disease. Although denosumab is metabolized hepatically and does not accumulate in renal insufficiency, hypocalcemia and the risk of rebound vertebral fractures upon withdrawal require careful monitoring and consideration of </w:t>
      </w:r>
      <w:r w:rsidR="00F87296">
        <w:rPr>
          <w:rFonts w:ascii="Arial" w:hAnsi="Arial" w:cs="Arial"/>
          <w:sz w:val="22"/>
          <w:szCs w:val="22"/>
          <w:lang w:val="en-US"/>
        </w:rPr>
        <w:t>initiating</w:t>
      </w:r>
      <w:r w:rsidR="002E13F2" w:rsidRPr="005F2054">
        <w:rPr>
          <w:rFonts w:ascii="Arial" w:hAnsi="Arial" w:cs="Arial"/>
          <w:sz w:val="22"/>
          <w:szCs w:val="22"/>
          <w:lang w:val="en-US"/>
        </w:rPr>
        <w:t xml:space="preserve"> BF therapy. There is limited experience with other drugs, such as </w:t>
      </w:r>
      <w:proofErr w:type="spellStart"/>
      <w:r w:rsidR="002E13F2" w:rsidRPr="005F2054">
        <w:rPr>
          <w:rFonts w:ascii="Arial" w:hAnsi="Arial" w:cs="Arial"/>
          <w:sz w:val="22"/>
          <w:szCs w:val="22"/>
          <w:lang w:val="en-US"/>
        </w:rPr>
        <w:t>romosozumab</w:t>
      </w:r>
      <w:proofErr w:type="spellEnd"/>
      <w:r w:rsidR="002E13F2" w:rsidRPr="005F2054">
        <w:rPr>
          <w:rFonts w:ascii="Arial" w:hAnsi="Arial" w:cs="Arial"/>
          <w:sz w:val="22"/>
          <w:szCs w:val="22"/>
          <w:lang w:val="en-US"/>
        </w:rPr>
        <w:t xml:space="preserve"> and </w:t>
      </w:r>
      <w:proofErr w:type="spellStart"/>
      <w:r w:rsidR="002E13F2" w:rsidRPr="005F2054">
        <w:rPr>
          <w:rFonts w:ascii="Arial" w:hAnsi="Arial" w:cs="Arial"/>
          <w:sz w:val="22"/>
          <w:szCs w:val="22"/>
          <w:lang w:val="en-US"/>
        </w:rPr>
        <w:t>abaloparatide</w:t>
      </w:r>
      <w:proofErr w:type="spellEnd"/>
      <w:r w:rsidR="002E13F2" w:rsidRPr="005F2054">
        <w:rPr>
          <w:rFonts w:ascii="Arial" w:hAnsi="Arial" w:cs="Arial"/>
          <w:sz w:val="22"/>
          <w:szCs w:val="22"/>
          <w:lang w:val="en-US"/>
        </w:rPr>
        <w:t>, which have demonstrated efficacy in treating adult osteoporosis</w:t>
      </w:r>
      <w:r w:rsidR="00036EE8" w:rsidRPr="005F2054">
        <w:rPr>
          <w:rFonts w:ascii="Arial" w:hAnsi="Arial" w:cs="Arial"/>
          <w:sz w:val="22"/>
          <w:szCs w:val="22"/>
          <w:lang w:val="en-US"/>
        </w:rPr>
        <w:t>.</w:t>
      </w:r>
    </w:p>
    <w:p w14:paraId="63B6958B" w14:textId="77777777" w:rsidR="002E13F2" w:rsidRPr="005F2054" w:rsidRDefault="002E13F2" w:rsidP="005F2054">
      <w:pPr>
        <w:pStyle w:val="NormalWeb"/>
        <w:spacing w:before="0" w:beforeAutospacing="0" w:after="0" w:afterAutospacing="0" w:line="276" w:lineRule="auto"/>
        <w:rPr>
          <w:rFonts w:ascii="Arial" w:hAnsi="Arial" w:cs="Arial"/>
          <w:b/>
          <w:bCs/>
          <w:color w:val="1F497D" w:themeColor="text2"/>
          <w:sz w:val="22"/>
          <w:szCs w:val="22"/>
          <w:lang w:val="en-US"/>
        </w:rPr>
      </w:pPr>
    </w:p>
    <w:p w14:paraId="2266F31B" w14:textId="77777777" w:rsidR="003454F3" w:rsidRDefault="003454F3" w:rsidP="005F2054">
      <w:pPr>
        <w:pStyle w:val="NormalWeb"/>
        <w:spacing w:before="0" w:beforeAutospacing="0" w:after="0" w:afterAutospacing="0" w:line="276" w:lineRule="auto"/>
        <w:rPr>
          <w:rFonts w:ascii="Arial" w:hAnsi="Arial" w:cs="Arial"/>
          <w:b/>
          <w:bCs/>
          <w:color w:val="1F497D" w:themeColor="text2"/>
          <w:sz w:val="22"/>
          <w:szCs w:val="22"/>
          <w:lang w:val="en-US"/>
        </w:rPr>
      </w:pPr>
      <w:r w:rsidRPr="005F2054">
        <w:rPr>
          <w:rFonts w:ascii="Arial" w:hAnsi="Arial" w:cs="Arial"/>
          <w:b/>
          <w:bCs/>
          <w:color w:val="1F497D" w:themeColor="text2"/>
          <w:sz w:val="22"/>
          <w:szCs w:val="22"/>
          <w:lang w:val="en-US"/>
        </w:rPr>
        <w:t xml:space="preserve">FOLLOW-UP OF POST-TRANSPLANT PATIENTS </w:t>
      </w:r>
    </w:p>
    <w:p w14:paraId="50B2986A" w14:textId="77777777" w:rsidR="002B6A9F" w:rsidRPr="005F2054" w:rsidRDefault="002B6A9F" w:rsidP="005F2054">
      <w:pPr>
        <w:pStyle w:val="NormalWeb"/>
        <w:spacing w:before="0" w:beforeAutospacing="0" w:after="0" w:afterAutospacing="0" w:line="276" w:lineRule="auto"/>
        <w:rPr>
          <w:rFonts w:ascii="Arial" w:hAnsi="Arial" w:cs="Arial"/>
          <w:b/>
          <w:bCs/>
          <w:color w:val="1F497D" w:themeColor="text2"/>
          <w:sz w:val="22"/>
          <w:szCs w:val="22"/>
          <w:lang w:val="en-US"/>
        </w:rPr>
      </w:pPr>
    </w:p>
    <w:p w14:paraId="3F2199FD" w14:textId="5AF50AEB" w:rsidR="000E304D" w:rsidRDefault="003454F3"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After initiating treatment, </w:t>
      </w:r>
      <w:r w:rsidR="002D27E4" w:rsidRPr="005F2054">
        <w:rPr>
          <w:rFonts w:ascii="Arial" w:hAnsi="Arial" w:cs="Arial"/>
          <w:sz w:val="22"/>
          <w:szCs w:val="22"/>
          <w:lang w:val="en-US"/>
        </w:rPr>
        <w:t>BMD</w:t>
      </w:r>
      <w:r w:rsidR="00444F62" w:rsidRPr="005F2054">
        <w:rPr>
          <w:rFonts w:ascii="Arial" w:hAnsi="Arial" w:cs="Arial"/>
          <w:sz w:val="22"/>
          <w:szCs w:val="22"/>
          <w:lang w:val="en-US"/>
        </w:rPr>
        <w:t xml:space="preserve"> should be monitored </w:t>
      </w:r>
      <w:r w:rsidR="002D27E4" w:rsidRPr="005F2054">
        <w:rPr>
          <w:rFonts w:ascii="Arial" w:hAnsi="Arial" w:cs="Arial"/>
          <w:sz w:val="22"/>
          <w:szCs w:val="22"/>
          <w:lang w:val="en-US"/>
        </w:rPr>
        <w:t>using Dual-energy X-ray absorptiometry (DXA)</w:t>
      </w:r>
      <w:r w:rsidRPr="005F2054">
        <w:rPr>
          <w:rFonts w:ascii="Arial" w:hAnsi="Arial" w:cs="Arial"/>
          <w:sz w:val="22"/>
          <w:szCs w:val="22"/>
          <w:lang w:val="en-US"/>
        </w:rPr>
        <w:t xml:space="preserve">. Although there are no specific recommendations for transplant patients, it </w:t>
      </w:r>
      <w:r w:rsidR="002E13F2" w:rsidRPr="005F2054">
        <w:rPr>
          <w:rFonts w:ascii="Arial" w:hAnsi="Arial" w:cs="Arial"/>
          <w:sz w:val="22"/>
          <w:szCs w:val="22"/>
          <w:lang w:val="en-US"/>
        </w:rPr>
        <w:t>is</w:t>
      </w:r>
      <w:r w:rsidRPr="005F2054">
        <w:rPr>
          <w:rFonts w:ascii="Arial" w:hAnsi="Arial" w:cs="Arial"/>
          <w:sz w:val="22"/>
          <w:szCs w:val="22"/>
          <w:lang w:val="en-US"/>
        </w:rPr>
        <w:t xml:space="preserve"> reasonable to repeat DXA </w:t>
      </w:r>
      <w:r w:rsidR="002E13F2" w:rsidRPr="005F2054">
        <w:rPr>
          <w:rFonts w:ascii="Arial" w:hAnsi="Arial" w:cs="Arial"/>
          <w:sz w:val="22"/>
          <w:szCs w:val="22"/>
          <w:lang w:val="en-US"/>
        </w:rPr>
        <w:t>after</w:t>
      </w:r>
      <w:r w:rsidRPr="005F2054">
        <w:rPr>
          <w:rFonts w:ascii="Arial" w:hAnsi="Arial" w:cs="Arial"/>
          <w:sz w:val="22"/>
          <w:szCs w:val="22"/>
          <w:lang w:val="en-US"/>
        </w:rPr>
        <w:t xml:space="preserve"> 1 year if denosumab is used, and </w:t>
      </w:r>
      <w:r w:rsidR="002E13F2" w:rsidRPr="005F2054">
        <w:rPr>
          <w:rFonts w:ascii="Arial" w:hAnsi="Arial" w:cs="Arial"/>
          <w:sz w:val="22"/>
          <w:szCs w:val="22"/>
          <w:lang w:val="en-US"/>
        </w:rPr>
        <w:t xml:space="preserve">after </w:t>
      </w:r>
      <w:r w:rsidRPr="005F2054">
        <w:rPr>
          <w:rFonts w:ascii="Arial" w:hAnsi="Arial" w:cs="Arial"/>
          <w:sz w:val="22"/>
          <w:szCs w:val="22"/>
          <w:lang w:val="en-US"/>
        </w:rPr>
        <w:t xml:space="preserve">1 or 2 years if </w:t>
      </w:r>
      <w:r w:rsidR="002E13F2" w:rsidRPr="005F2054">
        <w:rPr>
          <w:rFonts w:ascii="Arial" w:hAnsi="Arial" w:cs="Arial"/>
          <w:sz w:val="22"/>
          <w:szCs w:val="22"/>
          <w:lang w:val="en-US"/>
        </w:rPr>
        <w:t xml:space="preserve">bisphosphonates are the </w:t>
      </w:r>
      <w:r w:rsidR="002E13F2" w:rsidRPr="00F87296">
        <w:rPr>
          <w:rFonts w:ascii="Arial" w:hAnsi="Arial" w:cs="Arial"/>
          <w:sz w:val="22"/>
          <w:szCs w:val="22"/>
          <w:lang w:val="en-US"/>
        </w:rPr>
        <w:t xml:space="preserve">treatment </w:t>
      </w:r>
      <w:r w:rsidRPr="00F87296">
        <w:rPr>
          <w:rFonts w:ascii="Arial" w:hAnsi="Arial" w:cs="Arial"/>
          <w:sz w:val="22"/>
          <w:szCs w:val="22"/>
          <w:lang w:val="en-US"/>
        </w:rPr>
        <w:t xml:space="preserve">(112). If </w:t>
      </w:r>
      <w:r w:rsidRPr="005F2054">
        <w:rPr>
          <w:rFonts w:ascii="Arial" w:hAnsi="Arial" w:cs="Arial"/>
          <w:sz w:val="22"/>
          <w:szCs w:val="22"/>
          <w:lang w:val="en-US"/>
        </w:rPr>
        <w:t>an adequate densitometric response is not observed after the first or second year,</w:t>
      </w:r>
      <w:r w:rsidR="00F925C5" w:rsidRPr="005F2054">
        <w:rPr>
          <w:rFonts w:ascii="Arial" w:hAnsi="Arial" w:cs="Arial"/>
          <w:sz w:val="22"/>
          <w:szCs w:val="22"/>
          <w:lang w:val="en-US"/>
        </w:rPr>
        <w:t xml:space="preserve"> considering an alternative treatment would be logical.</w:t>
      </w:r>
      <w:r w:rsidR="00B11F67" w:rsidRPr="005F2054">
        <w:rPr>
          <w:rFonts w:ascii="Arial" w:hAnsi="Arial" w:cs="Arial"/>
          <w:sz w:val="22"/>
          <w:szCs w:val="22"/>
          <w:lang w:val="en-US"/>
        </w:rPr>
        <w:t xml:space="preserve"> </w:t>
      </w:r>
      <w:bookmarkStart w:id="8" w:name="_Hlk193804151"/>
    </w:p>
    <w:p w14:paraId="56319405" w14:textId="77777777" w:rsidR="002B6A9F" w:rsidRPr="005F2054" w:rsidRDefault="002B6A9F" w:rsidP="005F2054">
      <w:pPr>
        <w:pStyle w:val="NormalWeb"/>
        <w:spacing w:before="0" w:beforeAutospacing="0" w:after="0" w:afterAutospacing="0" w:line="276" w:lineRule="auto"/>
        <w:rPr>
          <w:rFonts w:ascii="Arial" w:hAnsi="Arial" w:cs="Arial"/>
          <w:sz w:val="22"/>
          <w:szCs w:val="22"/>
          <w:lang w:val="en-US"/>
        </w:rPr>
      </w:pPr>
    </w:p>
    <w:bookmarkEnd w:id="8"/>
    <w:p w14:paraId="1E2BDED4" w14:textId="00097595" w:rsidR="00A056C7" w:rsidRPr="005F2054" w:rsidRDefault="002E13F2" w:rsidP="005F2054">
      <w:pPr>
        <w:pStyle w:val="NormalWeb"/>
        <w:spacing w:before="0" w:beforeAutospacing="0" w:after="0" w:afterAutospacing="0" w:line="276" w:lineRule="auto"/>
        <w:rPr>
          <w:rFonts w:ascii="Arial" w:hAnsi="Arial" w:cs="Arial"/>
          <w:sz w:val="22"/>
          <w:szCs w:val="22"/>
          <w:lang w:val="en-US"/>
        </w:rPr>
      </w:pPr>
      <w:r w:rsidRPr="005F2054">
        <w:rPr>
          <w:rFonts w:ascii="Arial" w:hAnsi="Arial" w:cs="Arial"/>
          <w:sz w:val="22"/>
          <w:szCs w:val="22"/>
          <w:lang w:val="en-US"/>
        </w:rPr>
        <w:t xml:space="preserve">The decision to stop treatment should be individualized based on clinical information. After 3 to 5 years of bisphosphonate treatment, patients with a modest fracture risk (T-score &gt;-2.5) may discontinue treatment, while those at high fracture risk (T-score ≤-2.5) should either </w:t>
      </w:r>
      <w:r w:rsidRPr="005F2054">
        <w:rPr>
          <w:rFonts w:ascii="Arial" w:hAnsi="Arial" w:cs="Arial"/>
          <w:sz w:val="22"/>
          <w:szCs w:val="22"/>
          <w:lang w:val="en-US"/>
        </w:rPr>
        <w:lastRenderedPageBreak/>
        <w:t xml:space="preserve">continue treatment or begin alternative therapy. Research has shown a residual positive skeletal effect even after discontinuing bisphosphonate treatment for several years. Reassessment of fracture risk is recommended after 2–3 years of bisphosphonate therapy. Discontinuation of denosumab treatment is associated with rapid bone loss and multiple vertebral fractures; therefore, bisphosphonates are recommended as an alternative therapy to maintain the gains in bone density </w:t>
      </w:r>
      <w:r w:rsidR="00287A1E" w:rsidRPr="005F2054">
        <w:rPr>
          <w:rFonts w:ascii="Arial" w:hAnsi="Arial" w:cs="Arial"/>
          <w:sz w:val="22"/>
          <w:szCs w:val="22"/>
          <w:lang w:val="en-US"/>
        </w:rPr>
        <w:t>(129).</w:t>
      </w:r>
    </w:p>
    <w:p w14:paraId="2AF7BCF9" w14:textId="77777777" w:rsidR="00601ACE" w:rsidRPr="005F2054" w:rsidRDefault="00601ACE" w:rsidP="005F2054">
      <w:pPr>
        <w:spacing w:after="0"/>
        <w:rPr>
          <w:rFonts w:ascii="Arial" w:hAnsi="Arial" w:cs="Arial"/>
          <w:b/>
          <w:bCs/>
          <w:color w:val="212121"/>
          <w:shd w:val="clear" w:color="auto" w:fill="FFFFFF"/>
          <w:lang w:val="en-US"/>
        </w:rPr>
      </w:pPr>
    </w:p>
    <w:p w14:paraId="31E9D2A6" w14:textId="5D46F321" w:rsidR="0064791B" w:rsidRPr="008773CD" w:rsidRDefault="0064791B" w:rsidP="005F2054">
      <w:pPr>
        <w:spacing w:after="0"/>
        <w:rPr>
          <w:rFonts w:ascii="Arial" w:hAnsi="Arial" w:cs="Arial"/>
          <w:b/>
          <w:bCs/>
          <w:color w:val="0070C0"/>
          <w:shd w:val="clear" w:color="auto" w:fill="FFFFFF"/>
          <w:lang w:val="en-US"/>
        </w:rPr>
      </w:pPr>
      <w:r w:rsidRPr="008773CD">
        <w:rPr>
          <w:rFonts w:ascii="Arial" w:hAnsi="Arial" w:cs="Arial"/>
          <w:b/>
          <w:bCs/>
          <w:color w:val="0070C0"/>
          <w:shd w:val="clear" w:color="auto" w:fill="FFFFFF"/>
          <w:lang w:val="en-US"/>
        </w:rPr>
        <w:t>R</w:t>
      </w:r>
      <w:r w:rsidR="008773CD" w:rsidRPr="008773CD">
        <w:rPr>
          <w:rFonts w:ascii="Arial" w:hAnsi="Arial" w:cs="Arial"/>
          <w:b/>
          <w:bCs/>
          <w:color w:val="0070C0"/>
          <w:shd w:val="clear" w:color="auto" w:fill="FFFFFF"/>
          <w:lang w:val="en-US"/>
        </w:rPr>
        <w:t>EFERENCES</w:t>
      </w:r>
    </w:p>
    <w:p w14:paraId="74E25302" w14:textId="77777777" w:rsidR="005F2054" w:rsidRPr="005F2054" w:rsidRDefault="005F2054" w:rsidP="005F2054">
      <w:pPr>
        <w:spacing w:after="0"/>
        <w:rPr>
          <w:rFonts w:ascii="Arial" w:hAnsi="Arial" w:cs="Arial"/>
          <w:b/>
          <w:bCs/>
          <w:color w:val="212121"/>
          <w:shd w:val="clear" w:color="auto" w:fill="FFFFFF"/>
          <w:lang w:val="en-US"/>
        </w:rPr>
      </w:pPr>
    </w:p>
    <w:p w14:paraId="39DB1353" w14:textId="02CB4C59" w:rsidR="0064791B" w:rsidRPr="005F2054" w:rsidRDefault="0064791B" w:rsidP="005F2054">
      <w:pPr>
        <w:spacing w:after="0"/>
        <w:ind w:left="576" w:hanging="576"/>
        <w:rPr>
          <w:rFonts w:ascii="Arial" w:hAnsi="Arial" w:cs="Arial"/>
          <w:lang w:val="en-US"/>
        </w:rPr>
      </w:pPr>
      <w:r w:rsidRPr="005F2054">
        <w:rPr>
          <w:rFonts w:ascii="Arial" w:hAnsi="Arial" w:cs="Arial"/>
          <w:color w:val="212121"/>
          <w:shd w:val="clear" w:color="auto" w:fill="FFFFFF"/>
          <w:lang w:val="en-US"/>
        </w:rPr>
        <w:t>1.</w:t>
      </w:r>
      <w:r w:rsidR="00FA234B">
        <w:rPr>
          <w:rFonts w:ascii="Arial" w:hAnsi="Arial" w:cs="Arial"/>
          <w:color w:val="212121"/>
          <w:shd w:val="clear" w:color="auto" w:fill="FFFFFF"/>
          <w:lang w:val="en-US"/>
        </w:rPr>
        <w:t xml:space="preserve"> </w:t>
      </w:r>
      <w:r w:rsidR="00222ABC">
        <w:rPr>
          <w:rFonts w:ascii="Arial" w:hAnsi="Arial" w:cs="Arial"/>
          <w:color w:val="212121"/>
          <w:shd w:val="clear" w:color="auto" w:fill="FFFFFF"/>
          <w:lang w:val="en-US"/>
        </w:rPr>
        <w:t xml:space="preserve">     </w:t>
      </w:r>
      <w:r w:rsidRPr="005F2054">
        <w:rPr>
          <w:rFonts w:ascii="Arial" w:hAnsi="Arial" w:cs="Arial"/>
          <w:lang w:val="en-US"/>
        </w:rPr>
        <w:t>https://www.statista.com/statistics/398645/global-estimation-of-organ-transplantations/</w:t>
      </w:r>
      <w:r w:rsidR="00CB476C" w:rsidRPr="005F2054">
        <w:rPr>
          <w:rFonts w:ascii="Arial" w:hAnsi="Arial" w:cs="Arial"/>
          <w:lang w:val="en-US"/>
        </w:rPr>
        <w:t xml:space="preserve"> </w:t>
      </w:r>
      <w:r w:rsidRPr="005F2054">
        <w:rPr>
          <w:rFonts w:ascii="Arial" w:hAnsi="Arial" w:cs="Arial"/>
          <w:lang w:val="en-US"/>
        </w:rPr>
        <w:t xml:space="preserve">Access: </w:t>
      </w:r>
      <w:r w:rsidR="00162CA0" w:rsidRPr="005F2054">
        <w:rPr>
          <w:rFonts w:ascii="Arial" w:hAnsi="Arial" w:cs="Arial"/>
          <w:lang w:val="en-US"/>
        </w:rPr>
        <w:t xml:space="preserve">July 25, </w:t>
      </w:r>
      <w:r w:rsidRPr="005F2054">
        <w:rPr>
          <w:rFonts w:ascii="Arial" w:hAnsi="Arial" w:cs="Arial"/>
          <w:lang w:val="en-US"/>
        </w:rPr>
        <w:t>2024.</w:t>
      </w:r>
    </w:p>
    <w:p w14:paraId="248139E9" w14:textId="60B4E024"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lang w:val="en-US"/>
        </w:rPr>
        <w:t>2</w:t>
      </w:r>
      <w:r w:rsidRPr="005F2054">
        <w:rPr>
          <w:rFonts w:ascii="Arial" w:hAnsi="Arial" w:cs="Arial"/>
          <w:color w:val="212121"/>
          <w:shd w:val="clear" w:color="auto" w:fill="FFFFFF"/>
          <w:lang w:val="en-US"/>
        </w:rPr>
        <w:t>.</w:t>
      </w:r>
      <w:r w:rsidR="00222ABC">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Shane E, </w:t>
      </w:r>
      <w:r w:rsidR="00BA120E" w:rsidRPr="005F2054">
        <w:rPr>
          <w:rFonts w:ascii="Arial" w:hAnsi="Arial" w:cs="Arial"/>
          <w:color w:val="212121"/>
          <w:shd w:val="clear" w:color="auto" w:fill="FFFFFF"/>
          <w:lang w:val="en-US"/>
        </w:rPr>
        <w:t>Papadopoulos</w:t>
      </w:r>
      <w:r w:rsidRPr="005F2054">
        <w:rPr>
          <w:rFonts w:ascii="Arial" w:hAnsi="Arial" w:cs="Arial"/>
          <w:color w:val="212121"/>
          <w:shd w:val="clear" w:color="auto" w:fill="FFFFFF"/>
          <w:lang w:val="en-US"/>
        </w:rPr>
        <w:t xml:space="preserve"> A, Staron RB, </w:t>
      </w:r>
      <w:proofErr w:type="spellStart"/>
      <w:r w:rsidRPr="005F2054">
        <w:rPr>
          <w:rFonts w:ascii="Arial" w:hAnsi="Arial" w:cs="Arial"/>
          <w:color w:val="212121"/>
          <w:shd w:val="clear" w:color="auto" w:fill="FFFFFF"/>
          <w:lang w:val="en-US"/>
        </w:rPr>
        <w:t>Addresso</w:t>
      </w:r>
      <w:proofErr w:type="spellEnd"/>
      <w:r w:rsidRPr="005F2054">
        <w:rPr>
          <w:rFonts w:ascii="Arial" w:hAnsi="Arial" w:cs="Arial"/>
          <w:color w:val="212121"/>
          <w:shd w:val="clear" w:color="auto" w:fill="FFFFFF"/>
          <w:lang w:val="en-US"/>
        </w:rPr>
        <w:t xml:space="preserve"> V, Donovan D, McGregor C</w:t>
      </w:r>
      <w:r w:rsidR="00255A35" w:rsidRPr="005F2054">
        <w:rPr>
          <w:rFonts w:ascii="Arial" w:hAnsi="Arial" w:cs="Arial"/>
          <w:color w:val="212121"/>
          <w:shd w:val="clear" w:color="auto" w:fill="FFFFFF"/>
          <w:lang w:val="en-US"/>
        </w:rPr>
        <w:t>,</w:t>
      </w:r>
      <w:hyperlink r:id="rId9" w:history="1">
        <w:r w:rsidR="00255A35" w:rsidRPr="005F2054">
          <w:rPr>
            <w:rFonts w:ascii="Arial" w:hAnsi="Arial" w:cs="Arial"/>
            <w:shd w:val="clear" w:color="auto" w:fill="FFFFFF"/>
            <w:lang w:val="en-US"/>
          </w:rPr>
          <w:t xml:space="preserve"> Schulman</w:t>
        </w:r>
      </w:hyperlink>
      <w:r w:rsidR="00255A35" w:rsidRPr="005F2054">
        <w:rPr>
          <w:rFonts w:ascii="Arial" w:hAnsi="Arial" w:cs="Arial"/>
          <w:shd w:val="clear" w:color="auto" w:fill="FFFFFF"/>
          <w:lang w:val="en-US"/>
        </w:rPr>
        <w:t xml:space="preserve">  </w:t>
      </w:r>
      <w:r w:rsidR="00255A35" w:rsidRPr="005F2054">
        <w:rPr>
          <w:rFonts w:ascii="Arial" w:hAnsi="Arial" w:cs="Arial"/>
          <w:color w:val="212121"/>
          <w:shd w:val="clear" w:color="auto" w:fill="FFFFFF"/>
          <w:lang w:val="en-US"/>
        </w:rPr>
        <w:t xml:space="preserve">LL. </w:t>
      </w:r>
      <w:r w:rsidRPr="005F2054">
        <w:rPr>
          <w:rFonts w:ascii="Arial" w:hAnsi="Arial" w:cs="Arial"/>
          <w:color w:val="212121"/>
          <w:shd w:val="clear" w:color="auto" w:fill="FFFFFF"/>
          <w:lang w:val="en-US"/>
        </w:rPr>
        <w:t>Bone loss and fracture after lung transplantation. Transplantation 1999; 58:220-7</w:t>
      </w:r>
    </w:p>
    <w:p w14:paraId="0C97628F" w14:textId="125489D8"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3.</w:t>
      </w:r>
      <w:r w:rsidR="00222ABC">
        <w:rPr>
          <w:rFonts w:ascii="Arial" w:hAnsi="Arial" w:cs="Arial"/>
          <w:color w:val="212121"/>
          <w:shd w:val="clear" w:color="auto" w:fill="FFFFFF"/>
          <w:lang w:val="en-US"/>
        </w:rPr>
        <w:t xml:space="preserve">     </w:t>
      </w:r>
      <w:r w:rsidR="00235416" w:rsidRPr="005F2054">
        <w:rPr>
          <w:rFonts w:ascii="Arial" w:hAnsi="Arial" w:cs="Arial"/>
          <w:color w:val="212121"/>
          <w:shd w:val="clear" w:color="auto" w:fill="FFFFFF"/>
          <w:lang w:val="en-US"/>
        </w:rPr>
        <w:t xml:space="preserve"> Chen H, Lai YR, Yang Y, Gau SY, Huang CY, Tsai TH, Huang KH, Lee CY. </w:t>
      </w:r>
      <w:r w:rsidRPr="005F2054">
        <w:rPr>
          <w:rFonts w:ascii="Arial" w:hAnsi="Arial" w:cs="Arial"/>
          <w:color w:val="212121"/>
          <w:shd w:val="clear" w:color="auto" w:fill="FFFFFF"/>
          <w:lang w:val="en-US"/>
        </w:rPr>
        <w:t>High risk of osteoporosis and fracture following solid organ transplantation: a population-based study. Front Endocrinol 2023; 14:1167574</w:t>
      </w:r>
    </w:p>
    <w:p w14:paraId="26ACC34B" w14:textId="398BC598"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4.</w:t>
      </w:r>
      <w:r w:rsidR="00222ABC">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Maalouf NM, Shane E. Osteoporosis after solid organ transplantation. Journal Clinical Endocrinology and Metabolism, 2005;</w:t>
      </w:r>
      <w:r w:rsidR="007620D9" w:rsidRPr="005F2054">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90:2456-2459</w:t>
      </w:r>
    </w:p>
    <w:p w14:paraId="4CCCE8B1" w14:textId="5FE1E2FE"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5.</w:t>
      </w:r>
      <w:r w:rsidR="00AF6178">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Martinez GM, Gomez R, </w:t>
      </w:r>
      <w:proofErr w:type="spellStart"/>
      <w:r w:rsidRPr="005F2054">
        <w:rPr>
          <w:rFonts w:ascii="Arial" w:hAnsi="Arial" w:cs="Arial"/>
          <w:color w:val="212121"/>
          <w:shd w:val="clear" w:color="auto" w:fill="FFFFFF"/>
          <w:lang w:val="en-US"/>
        </w:rPr>
        <w:t>Jodar</w:t>
      </w:r>
      <w:proofErr w:type="spellEnd"/>
      <w:r w:rsidRPr="005F2054">
        <w:rPr>
          <w:rFonts w:ascii="Arial" w:hAnsi="Arial" w:cs="Arial"/>
          <w:color w:val="212121"/>
          <w:shd w:val="clear" w:color="auto" w:fill="FFFFFF"/>
          <w:lang w:val="en-US"/>
        </w:rPr>
        <w:t xml:space="preserve"> E, </w:t>
      </w:r>
      <w:proofErr w:type="spellStart"/>
      <w:r w:rsidRPr="005F2054">
        <w:rPr>
          <w:rFonts w:ascii="Arial" w:hAnsi="Arial" w:cs="Arial"/>
          <w:color w:val="212121"/>
          <w:shd w:val="clear" w:color="auto" w:fill="FFFFFF"/>
          <w:lang w:val="en-US"/>
        </w:rPr>
        <w:t>Loinaz</w:t>
      </w:r>
      <w:proofErr w:type="spellEnd"/>
      <w:r w:rsidRPr="005F2054">
        <w:rPr>
          <w:rFonts w:ascii="Arial" w:hAnsi="Arial" w:cs="Arial"/>
          <w:color w:val="212121"/>
          <w:shd w:val="clear" w:color="auto" w:fill="FFFFFF"/>
          <w:lang w:val="en-US"/>
        </w:rPr>
        <w:t xml:space="preserve"> C, Moreno E, Hawkins F. Long-term follow-up of bone mass after orthotopic liver transplantation: Effect of steroid withdrawal from the immunosuppressive regimen. Osteoporosis Int 2002; 13:147-150</w:t>
      </w:r>
    </w:p>
    <w:p w14:paraId="6C079CF9" w14:textId="1856A97E"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6.</w:t>
      </w:r>
      <w:r w:rsidR="00AF6178">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lyer</w:t>
      </w:r>
      <w:proofErr w:type="spellEnd"/>
      <w:r w:rsidRPr="005F2054">
        <w:rPr>
          <w:rFonts w:ascii="Arial" w:hAnsi="Arial" w:cs="Arial"/>
          <w:color w:val="212121"/>
          <w:shd w:val="clear" w:color="auto" w:fill="FFFFFF"/>
          <w:lang w:val="en-US"/>
        </w:rPr>
        <w:t xml:space="preserve"> SP, Nikkel LE, Nishiyama KK</w:t>
      </w:r>
      <w:r w:rsidR="00054EF5" w:rsidRPr="005F2054">
        <w:rPr>
          <w:rFonts w:ascii="Arial" w:hAnsi="Arial" w:cs="Arial"/>
          <w:color w:val="212121"/>
          <w:shd w:val="clear" w:color="auto" w:fill="FFFFFF"/>
          <w:lang w:val="en-US"/>
        </w:rPr>
        <w:t xml:space="preserve">, Dworakowski E, Cremers S, Zhang C, McMahon D, </w:t>
      </w:r>
      <w:proofErr w:type="spellStart"/>
      <w:r w:rsidR="00054EF5" w:rsidRPr="005F2054">
        <w:rPr>
          <w:rFonts w:ascii="Arial" w:hAnsi="Arial" w:cs="Arial"/>
          <w:color w:val="212121"/>
          <w:shd w:val="clear" w:color="auto" w:fill="FFFFFF"/>
          <w:lang w:val="en-US"/>
        </w:rPr>
        <w:t>Boutroy</w:t>
      </w:r>
      <w:proofErr w:type="spellEnd"/>
      <w:r w:rsidR="00054EF5" w:rsidRPr="005F2054">
        <w:rPr>
          <w:rFonts w:ascii="Arial" w:hAnsi="Arial" w:cs="Arial"/>
          <w:color w:val="212121"/>
          <w:shd w:val="clear" w:color="auto" w:fill="FFFFFF"/>
          <w:lang w:val="en-US"/>
        </w:rPr>
        <w:t xml:space="preserve"> A, Liu XS, Ratner L, Cohen DJ, Guo XE, Shane E, Nickolas T.</w:t>
      </w:r>
      <w:r w:rsidR="007620D9" w:rsidRPr="005F2054">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Kidney transplantation with early </w:t>
      </w:r>
      <w:r w:rsidR="00054EF5" w:rsidRPr="005F2054">
        <w:rPr>
          <w:rFonts w:ascii="Arial" w:hAnsi="Arial" w:cs="Arial"/>
          <w:color w:val="212121"/>
          <w:shd w:val="clear" w:color="auto" w:fill="FFFFFF"/>
          <w:lang w:val="en-US"/>
        </w:rPr>
        <w:t>corticosteroid</w:t>
      </w:r>
      <w:r w:rsidRPr="005F2054">
        <w:rPr>
          <w:rFonts w:ascii="Arial" w:hAnsi="Arial" w:cs="Arial"/>
          <w:color w:val="212121"/>
          <w:shd w:val="clear" w:color="auto" w:fill="FFFFFF"/>
          <w:lang w:val="en-US"/>
        </w:rPr>
        <w:t xml:space="preserve"> withdrawal: paradoxical effects at the central and peripheral skeleton. J Am Soc Nephrol 2014; 25:1331-4.</w:t>
      </w:r>
    </w:p>
    <w:p w14:paraId="7B1DF204" w14:textId="7A30EB00"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7.</w:t>
      </w:r>
      <w:r w:rsidR="00AF6178">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Kovvuru</w:t>
      </w:r>
      <w:proofErr w:type="spellEnd"/>
      <w:r w:rsidRPr="005F2054">
        <w:rPr>
          <w:rFonts w:ascii="Arial" w:hAnsi="Arial" w:cs="Arial"/>
          <w:color w:val="212121"/>
          <w:shd w:val="clear" w:color="auto" w:fill="FFFFFF"/>
          <w:lang w:val="en-US"/>
        </w:rPr>
        <w:t xml:space="preserve"> K, </w:t>
      </w:r>
      <w:proofErr w:type="spellStart"/>
      <w:r w:rsidRPr="005F2054">
        <w:rPr>
          <w:rFonts w:ascii="Arial" w:hAnsi="Arial" w:cs="Arial"/>
          <w:color w:val="212121"/>
          <w:shd w:val="clear" w:color="auto" w:fill="FFFFFF"/>
          <w:lang w:val="en-US"/>
        </w:rPr>
        <w:t>Kanduri</w:t>
      </w:r>
      <w:proofErr w:type="spellEnd"/>
      <w:r w:rsidRPr="005F2054">
        <w:rPr>
          <w:rFonts w:ascii="Arial" w:hAnsi="Arial" w:cs="Arial"/>
          <w:color w:val="212121"/>
          <w:shd w:val="clear" w:color="auto" w:fill="FFFFFF"/>
          <w:lang w:val="en-US"/>
        </w:rPr>
        <w:t xml:space="preserve"> SR, </w:t>
      </w:r>
      <w:proofErr w:type="spellStart"/>
      <w:r w:rsidRPr="005F2054">
        <w:rPr>
          <w:rFonts w:ascii="Arial" w:hAnsi="Arial" w:cs="Arial"/>
          <w:color w:val="212121"/>
          <w:shd w:val="clear" w:color="auto" w:fill="FFFFFF"/>
          <w:lang w:val="en-US"/>
        </w:rPr>
        <w:t>Vaitla</w:t>
      </w:r>
      <w:proofErr w:type="spellEnd"/>
      <w:r w:rsidRPr="005F2054">
        <w:rPr>
          <w:rFonts w:ascii="Arial" w:hAnsi="Arial" w:cs="Arial"/>
          <w:color w:val="212121"/>
          <w:shd w:val="clear" w:color="auto" w:fill="FFFFFF"/>
          <w:lang w:val="en-US"/>
        </w:rPr>
        <w:t xml:space="preserve"> P, Marathi R, </w:t>
      </w:r>
      <w:proofErr w:type="spellStart"/>
      <w:r w:rsidRPr="005F2054">
        <w:rPr>
          <w:rFonts w:ascii="Arial" w:hAnsi="Arial" w:cs="Arial"/>
          <w:color w:val="212121"/>
          <w:shd w:val="clear" w:color="auto" w:fill="FFFFFF"/>
          <w:lang w:val="en-US"/>
        </w:rPr>
        <w:t>Gosi</w:t>
      </w:r>
      <w:proofErr w:type="spellEnd"/>
      <w:r w:rsidRPr="005F2054">
        <w:rPr>
          <w:rFonts w:ascii="Arial" w:hAnsi="Arial" w:cs="Arial"/>
          <w:color w:val="212121"/>
          <w:shd w:val="clear" w:color="auto" w:fill="FFFFFF"/>
          <w:lang w:val="en-US"/>
        </w:rPr>
        <w:t xml:space="preserve"> S, Garcia Anton DF, </w:t>
      </w:r>
      <w:proofErr w:type="spellStart"/>
      <w:r w:rsidRPr="005F2054">
        <w:rPr>
          <w:rFonts w:ascii="Arial" w:hAnsi="Arial" w:cs="Arial"/>
          <w:color w:val="212121"/>
          <w:shd w:val="clear" w:color="auto" w:fill="FFFFFF"/>
          <w:lang w:val="en-US"/>
        </w:rPr>
        <w:t>Vabez</w:t>
      </w:r>
      <w:proofErr w:type="spellEnd"/>
      <w:r w:rsidRPr="005F2054">
        <w:rPr>
          <w:rFonts w:ascii="Arial" w:hAnsi="Arial" w:cs="Arial"/>
          <w:color w:val="212121"/>
          <w:shd w:val="clear" w:color="auto" w:fill="FFFFFF"/>
          <w:lang w:val="en-US"/>
        </w:rPr>
        <w:t xml:space="preserve"> Rivera FH. Garla V. Risk factors and management of osteoporosis post-transplant. Medicina 2020; 56</w:t>
      </w:r>
      <w:r w:rsidR="00507E4C" w:rsidRPr="005F2054">
        <w:rPr>
          <w:rFonts w:ascii="Arial" w:hAnsi="Arial" w:cs="Arial"/>
          <w:color w:val="212121"/>
          <w:shd w:val="clear" w:color="auto" w:fill="FFFFFF"/>
          <w:lang w:val="en-US"/>
        </w:rPr>
        <w:t>(6)</w:t>
      </w:r>
      <w:r w:rsidRPr="005F2054">
        <w:rPr>
          <w:rFonts w:ascii="Arial" w:hAnsi="Arial" w:cs="Arial"/>
          <w:color w:val="212121"/>
          <w:shd w:val="clear" w:color="auto" w:fill="FFFFFF"/>
          <w:lang w:val="en-US"/>
        </w:rPr>
        <w:t>:302.</w:t>
      </w:r>
      <w:r w:rsidR="00507E4C" w:rsidRPr="005F2054">
        <w:rPr>
          <w:rFonts w:ascii="Arial" w:hAnsi="Arial" w:cs="Arial"/>
          <w:color w:val="4D8055"/>
          <w:shd w:val="clear" w:color="auto" w:fill="FFFFFF"/>
          <w:lang w:val="en-US"/>
        </w:rPr>
        <w:t xml:space="preserve"> </w:t>
      </w:r>
    </w:p>
    <w:p w14:paraId="46DA8381" w14:textId="0D8A2686" w:rsidR="0064791B" w:rsidRPr="005F2054" w:rsidRDefault="0064791B" w:rsidP="005F2054">
      <w:pPr>
        <w:spacing w:after="0"/>
        <w:ind w:left="576" w:hanging="576"/>
        <w:rPr>
          <w:rFonts w:ascii="Arial" w:hAnsi="Arial" w:cs="Arial"/>
          <w:shd w:val="clear" w:color="auto" w:fill="FFFFFF"/>
          <w:lang w:val="en-US"/>
        </w:rPr>
      </w:pPr>
      <w:r w:rsidRPr="005F2054">
        <w:rPr>
          <w:rFonts w:ascii="Arial" w:hAnsi="Arial" w:cs="Arial"/>
          <w:color w:val="212121"/>
          <w:shd w:val="clear" w:color="auto" w:fill="FFFFFF"/>
          <w:lang w:val="en-US"/>
        </w:rPr>
        <w:t>8.</w:t>
      </w:r>
      <w:r w:rsidR="00AF6178">
        <w:rPr>
          <w:rFonts w:ascii="Arial" w:hAnsi="Arial" w:cs="Arial"/>
          <w:color w:val="212121"/>
          <w:shd w:val="clear" w:color="auto" w:fill="FFFFFF"/>
          <w:lang w:val="en-US"/>
        </w:rPr>
        <w:t xml:space="preserve"> </w:t>
      </w:r>
      <w:r w:rsidR="007C5F19">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Elder G.  Current Status of mineral and bone disorders in transplant recipients. Transplantation 2023</w:t>
      </w:r>
      <w:r w:rsidRPr="005F2054">
        <w:rPr>
          <w:rFonts w:ascii="Arial" w:hAnsi="Arial" w:cs="Arial"/>
          <w:shd w:val="clear" w:color="auto" w:fill="FFFFFF"/>
          <w:lang w:val="en-US"/>
        </w:rPr>
        <w:t>; 107</w:t>
      </w:r>
      <w:r w:rsidR="00507E4C" w:rsidRPr="005F2054">
        <w:rPr>
          <w:rFonts w:ascii="Arial" w:hAnsi="Arial" w:cs="Arial"/>
          <w:shd w:val="clear" w:color="auto" w:fill="FFFFFF"/>
          <w:lang w:val="en-US"/>
        </w:rPr>
        <w:t>(10):2107-2119</w:t>
      </w:r>
      <w:r w:rsidR="00712B80" w:rsidRPr="005F2054">
        <w:rPr>
          <w:rFonts w:ascii="Arial" w:hAnsi="Arial" w:cs="Arial"/>
          <w:shd w:val="clear" w:color="auto" w:fill="FFFFFF"/>
          <w:lang w:val="en-US"/>
        </w:rPr>
        <w:t>.</w:t>
      </w:r>
    </w:p>
    <w:p w14:paraId="47F3D609" w14:textId="087EC5FD"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9.</w:t>
      </w:r>
      <w:r w:rsidR="007C5F19">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Poole KE, Reeve J. Parathyroid hormone -a bone anabolic and catabolic agent. Curr </w:t>
      </w:r>
      <w:proofErr w:type="spellStart"/>
      <w:r w:rsidRPr="005F2054">
        <w:rPr>
          <w:rFonts w:ascii="Arial" w:hAnsi="Arial" w:cs="Arial"/>
          <w:color w:val="212121"/>
          <w:shd w:val="clear" w:color="auto" w:fill="FFFFFF"/>
          <w:lang w:val="en-US"/>
        </w:rPr>
        <w:t>Opin</w:t>
      </w:r>
      <w:proofErr w:type="spellEnd"/>
      <w:r w:rsidRPr="005F2054">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Pharmacol</w:t>
      </w:r>
      <w:proofErr w:type="spellEnd"/>
      <w:r w:rsidRPr="005F2054">
        <w:rPr>
          <w:rFonts w:ascii="Arial" w:hAnsi="Arial" w:cs="Arial"/>
          <w:color w:val="212121"/>
          <w:shd w:val="clear" w:color="auto" w:fill="FFFFFF"/>
          <w:lang w:val="en-US"/>
        </w:rPr>
        <w:t xml:space="preserve"> 2005; 5:612-617</w:t>
      </w:r>
    </w:p>
    <w:p w14:paraId="7066FFDE" w14:textId="37547AE5"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10.</w:t>
      </w:r>
      <w:r w:rsidR="007C5F19">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Jin Kim K, Ha J, Kim SW, Kim JE, Lee S, Choi HS, Hong N, Kong SH, Ahn SH, Park SY, Back KH on Behalf of Metabolic Bone Disease Study Group of Korean Endocrine Society. Endocrinol </w:t>
      </w:r>
      <w:proofErr w:type="spellStart"/>
      <w:r w:rsidRPr="005F2054">
        <w:rPr>
          <w:rFonts w:ascii="Arial" w:hAnsi="Arial" w:cs="Arial"/>
          <w:color w:val="212121"/>
          <w:shd w:val="clear" w:color="auto" w:fill="FFFFFF"/>
          <w:lang w:val="en-US"/>
        </w:rPr>
        <w:t>Metab</w:t>
      </w:r>
      <w:proofErr w:type="spellEnd"/>
      <w:r w:rsidRPr="005F2054">
        <w:rPr>
          <w:rFonts w:ascii="Arial" w:hAnsi="Arial" w:cs="Arial"/>
          <w:color w:val="212121"/>
          <w:shd w:val="clear" w:color="auto" w:fill="FFFFFF"/>
          <w:lang w:val="en-US"/>
        </w:rPr>
        <w:t xml:space="preserve"> 2024; 39:267-282</w:t>
      </w:r>
    </w:p>
    <w:p w14:paraId="3A72D75E" w14:textId="070F7558"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11.</w:t>
      </w:r>
      <w:r w:rsidR="007C5F19">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Lv</w:t>
      </w:r>
      <w:proofErr w:type="spellEnd"/>
      <w:r w:rsidRPr="005F2054">
        <w:rPr>
          <w:rFonts w:ascii="Arial" w:hAnsi="Arial" w:cs="Arial"/>
          <w:color w:val="212121"/>
          <w:shd w:val="clear" w:color="auto" w:fill="FFFFFF"/>
          <w:lang w:val="en-US"/>
        </w:rPr>
        <w:t xml:space="preserve"> J, Xie W, Wang S, Zhu Y, Wang Y, Zhang P, Chen J. Associated factor of osteoporosis and vascular calcification in patients awaiting kidney transplantation.  International Urology and Nephrology 2023; 55:3217-3224</w:t>
      </w:r>
    </w:p>
    <w:p w14:paraId="62BD0464" w14:textId="348369AA"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12.</w:t>
      </w:r>
      <w:r w:rsidR="00166CB3">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Chen H, Lips P, </w:t>
      </w:r>
      <w:proofErr w:type="spellStart"/>
      <w:r w:rsidRPr="005F2054">
        <w:rPr>
          <w:rFonts w:ascii="Arial" w:hAnsi="Arial" w:cs="Arial"/>
          <w:color w:val="212121"/>
          <w:shd w:val="clear" w:color="auto" w:fill="FFFFFF"/>
          <w:lang w:val="en-US"/>
        </w:rPr>
        <w:t>Vevloet</w:t>
      </w:r>
      <w:proofErr w:type="spellEnd"/>
      <w:r w:rsidRPr="005F2054">
        <w:rPr>
          <w:rFonts w:ascii="Arial" w:hAnsi="Arial" w:cs="Arial"/>
          <w:color w:val="212121"/>
          <w:shd w:val="clear" w:color="auto" w:fill="FFFFFF"/>
          <w:lang w:val="en-US"/>
        </w:rPr>
        <w:t xml:space="preserve"> MG, van Schoor NM, de Jongh T. Association of renal function with bone mineral density and fracture risk in the longitudinal aging study Amsterdam. </w:t>
      </w:r>
      <w:proofErr w:type="spellStart"/>
      <w:r w:rsidRPr="005F2054">
        <w:rPr>
          <w:rFonts w:ascii="Arial" w:hAnsi="Arial" w:cs="Arial"/>
          <w:color w:val="212121"/>
          <w:shd w:val="clear" w:color="auto" w:fill="FFFFFF"/>
          <w:lang w:val="en-US"/>
        </w:rPr>
        <w:t>Osteoporos</w:t>
      </w:r>
      <w:proofErr w:type="spellEnd"/>
      <w:r w:rsidRPr="005F2054">
        <w:rPr>
          <w:rFonts w:ascii="Arial" w:hAnsi="Arial" w:cs="Arial"/>
          <w:color w:val="212121"/>
          <w:shd w:val="clear" w:color="auto" w:fill="FFFFFF"/>
          <w:lang w:val="en-US"/>
        </w:rPr>
        <w:t xml:space="preserve"> Int 2018; 29:2129-2138</w:t>
      </w:r>
    </w:p>
    <w:p w14:paraId="085E68F7" w14:textId="5A43DBB7"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13.</w:t>
      </w:r>
      <w:r w:rsidR="00166CB3">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Hsu S, Bansal N, Denburg M, Ginsberg C, Hoofnagle AN, Isakova T, Ix JH, Robinson-Cohen C, Wolf M, Kestenbaum BR, de Boer IH, Zelnick LR. Risk factors for hip and vertebral fractures in chronic kidney disease: the CRIC Study. J Bone Min Res 2024:39:433-442</w:t>
      </w:r>
    </w:p>
    <w:p w14:paraId="28ED9024" w14:textId="33B872F3"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lastRenderedPageBreak/>
        <w:t>14.</w:t>
      </w:r>
      <w:r w:rsidR="00A20BB8">
        <w:rPr>
          <w:rFonts w:ascii="Arial" w:hAnsi="Arial" w:cs="Arial"/>
          <w:color w:val="212121"/>
          <w:shd w:val="clear" w:color="auto" w:fill="FFFFFF"/>
          <w:lang w:val="en-US"/>
        </w:rPr>
        <w:t xml:space="preserve">   </w:t>
      </w:r>
      <w:r w:rsidR="002A7E89" w:rsidRPr="005F2054">
        <w:rPr>
          <w:rFonts w:ascii="Arial" w:hAnsi="Arial" w:cs="Arial"/>
          <w:color w:val="212121"/>
          <w:shd w:val="clear" w:color="auto" w:fill="FFFFFF"/>
          <w:lang w:val="en-US"/>
        </w:rPr>
        <w:t xml:space="preserve"> </w:t>
      </w:r>
      <w:proofErr w:type="spellStart"/>
      <w:r w:rsidR="002A7E89" w:rsidRPr="005F2054">
        <w:rPr>
          <w:rFonts w:ascii="Arial" w:hAnsi="Arial" w:cs="Arial"/>
          <w:color w:val="212121"/>
          <w:shd w:val="clear" w:color="auto" w:fill="FFFFFF"/>
          <w:lang w:val="en-US"/>
        </w:rPr>
        <w:t>Eastell</w:t>
      </w:r>
      <w:proofErr w:type="spellEnd"/>
      <w:r w:rsidR="002A7E89" w:rsidRPr="005F2054">
        <w:rPr>
          <w:rFonts w:ascii="Arial" w:hAnsi="Arial" w:cs="Arial"/>
          <w:color w:val="212121"/>
          <w:shd w:val="clear" w:color="auto" w:fill="FFFFFF"/>
          <w:lang w:val="en-US"/>
        </w:rPr>
        <w:t xml:space="preserve"> R, Dickson ER, Hodgson SF, Wiesner RH, </w:t>
      </w:r>
      <w:proofErr w:type="spellStart"/>
      <w:r w:rsidR="002A7E89" w:rsidRPr="005F2054">
        <w:rPr>
          <w:rFonts w:ascii="Arial" w:hAnsi="Arial" w:cs="Arial"/>
          <w:color w:val="212121"/>
          <w:shd w:val="clear" w:color="auto" w:fill="FFFFFF"/>
          <w:lang w:val="en-US"/>
        </w:rPr>
        <w:t>Porayko</w:t>
      </w:r>
      <w:proofErr w:type="spellEnd"/>
      <w:r w:rsidR="002A7E89" w:rsidRPr="005F2054">
        <w:rPr>
          <w:rFonts w:ascii="Arial" w:hAnsi="Arial" w:cs="Arial"/>
          <w:color w:val="212121"/>
          <w:shd w:val="clear" w:color="auto" w:fill="FFFFFF"/>
          <w:lang w:val="en-US"/>
        </w:rPr>
        <w:t xml:space="preserve"> MK, Wahner HW, </w:t>
      </w:r>
      <w:proofErr w:type="spellStart"/>
      <w:r w:rsidR="002A7E89" w:rsidRPr="005F2054">
        <w:rPr>
          <w:rFonts w:ascii="Arial" w:hAnsi="Arial" w:cs="Arial"/>
          <w:color w:val="212121"/>
          <w:shd w:val="clear" w:color="auto" w:fill="FFFFFF"/>
          <w:lang w:val="en-US"/>
        </w:rPr>
        <w:t>Cedel</w:t>
      </w:r>
      <w:proofErr w:type="spellEnd"/>
      <w:r w:rsidR="002A7E89" w:rsidRPr="005F2054">
        <w:rPr>
          <w:rFonts w:ascii="Arial" w:hAnsi="Arial" w:cs="Arial"/>
          <w:color w:val="212121"/>
          <w:shd w:val="clear" w:color="auto" w:fill="FFFFFF"/>
          <w:lang w:val="en-US"/>
        </w:rPr>
        <w:t xml:space="preserve"> SL, Riggs BL, Krom </w:t>
      </w:r>
      <w:r w:rsidR="00D33E49" w:rsidRPr="005F2054">
        <w:rPr>
          <w:rFonts w:ascii="Arial" w:hAnsi="Arial" w:cs="Arial"/>
          <w:color w:val="212121"/>
          <w:shd w:val="clear" w:color="auto" w:fill="FFFFFF"/>
          <w:lang w:val="en-US"/>
        </w:rPr>
        <w:t>RA. Rates</w:t>
      </w:r>
      <w:r w:rsidRPr="005F2054">
        <w:rPr>
          <w:rFonts w:ascii="Arial" w:hAnsi="Arial" w:cs="Arial"/>
          <w:color w:val="212121"/>
          <w:shd w:val="clear" w:color="auto" w:fill="FFFFFF"/>
          <w:lang w:val="en-US"/>
        </w:rPr>
        <w:t xml:space="preserve"> of vertebral bone loss before and after liver transplantation in women with primary biliary cirrhosis. Hepatology 1991; 14:296-300</w:t>
      </w:r>
    </w:p>
    <w:p w14:paraId="3CBF88B3" w14:textId="1D0B7B71"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15.</w:t>
      </w:r>
      <w:r w:rsidR="00A20BB8">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 Leidig-Bruckner G, Hosch </w:t>
      </w:r>
      <w:r w:rsidR="006A1A5E" w:rsidRPr="005F2054">
        <w:rPr>
          <w:rFonts w:ascii="Arial" w:hAnsi="Arial" w:cs="Arial"/>
          <w:color w:val="212121"/>
          <w:shd w:val="clear" w:color="auto" w:fill="FFFFFF"/>
          <w:lang w:val="en-US"/>
        </w:rPr>
        <w:t>S</w:t>
      </w:r>
      <w:r w:rsidRPr="005F2054">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Dodidou</w:t>
      </w:r>
      <w:proofErr w:type="spellEnd"/>
      <w:r w:rsidRPr="005F2054">
        <w:rPr>
          <w:rFonts w:ascii="Arial" w:hAnsi="Arial" w:cs="Arial"/>
          <w:color w:val="212121"/>
          <w:shd w:val="clear" w:color="auto" w:fill="FFFFFF"/>
          <w:lang w:val="en-US"/>
        </w:rPr>
        <w:t xml:space="preserve"> P</w:t>
      </w:r>
      <w:r w:rsidR="00D33E49" w:rsidRPr="005F2054">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Rtschel</w:t>
      </w:r>
      <w:proofErr w:type="spellEnd"/>
      <w:r w:rsidRPr="005F2054">
        <w:rPr>
          <w:rFonts w:ascii="Arial" w:hAnsi="Arial" w:cs="Arial"/>
          <w:color w:val="212121"/>
          <w:shd w:val="clear" w:color="auto" w:fill="FFFFFF"/>
          <w:lang w:val="en-US"/>
        </w:rPr>
        <w:t xml:space="preserve"> D, Conradt C, Klose C</w:t>
      </w:r>
      <w:r w:rsidR="00D33E49" w:rsidRPr="005F2054">
        <w:rPr>
          <w:rFonts w:ascii="Arial" w:hAnsi="Arial" w:cs="Arial"/>
          <w:color w:val="212121"/>
          <w:shd w:val="clear" w:color="auto" w:fill="FFFFFF"/>
          <w:lang w:val="en-US"/>
        </w:rPr>
        <w:t xml:space="preserve">, Otto G, Lange R, Theilmann L, Zimmerman R, </w:t>
      </w:r>
      <w:proofErr w:type="spellStart"/>
      <w:r w:rsidR="00D33E49" w:rsidRPr="005F2054">
        <w:rPr>
          <w:rFonts w:ascii="Arial" w:hAnsi="Arial" w:cs="Arial"/>
          <w:color w:val="212121"/>
          <w:shd w:val="clear" w:color="auto" w:fill="FFFFFF"/>
          <w:lang w:val="en-US"/>
        </w:rPr>
        <w:t>Pritsch</w:t>
      </w:r>
      <w:proofErr w:type="spellEnd"/>
      <w:r w:rsidR="00D33E49" w:rsidRPr="005F2054">
        <w:rPr>
          <w:rFonts w:ascii="Arial" w:hAnsi="Arial" w:cs="Arial"/>
          <w:color w:val="212121"/>
          <w:shd w:val="clear" w:color="auto" w:fill="FFFFFF"/>
          <w:lang w:val="en-US"/>
        </w:rPr>
        <w:t xml:space="preserve"> M, Ziegler R. </w:t>
      </w:r>
      <w:r w:rsidRPr="005F2054">
        <w:rPr>
          <w:rFonts w:ascii="Arial" w:hAnsi="Arial" w:cs="Arial"/>
          <w:color w:val="212121"/>
          <w:shd w:val="clear" w:color="auto" w:fill="FFFFFF"/>
          <w:lang w:val="en-US"/>
        </w:rPr>
        <w:t>Frequency and predictors of osteoporotic fractures after cardiac or liver transplantation: a</w:t>
      </w:r>
      <w:r w:rsidR="00D33E49" w:rsidRPr="005F2054">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follow-up</w:t>
      </w:r>
      <w:r w:rsidR="00D33E49" w:rsidRPr="005F2054">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study. Lancet 2001; 357:342-7</w:t>
      </w:r>
    </w:p>
    <w:p w14:paraId="6C3FED75" w14:textId="24ABAE36"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16.</w:t>
      </w:r>
      <w:r w:rsidR="00A20BB8">
        <w:rPr>
          <w:rFonts w:ascii="Arial" w:hAnsi="Arial" w:cs="Arial"/>
          <w:color w:val="212121"/>
          <w:shd w:val="clear" w:color="auto" w:fill="FFFFFF"/>
          <w:lang w:val="en-US"/>
        </w:rPr>
        <w:t xml:space="preserve">  </w:t>
      </w:r>
      <w:r w:rsidR="008E0AFA">
        <w:rPr>
          <w:rFonts w:ascii="Arial" w:hAnsi="Arial" w:cs="Arial"/>
          <w:color w:val="212121"/>
          <w:shd w:val="clear" w:color="auto" w:fill="FFFFFF"/>
          <w:lang w:val="en-US"/>
        </w:rPr>
        <w:t xml:space="preserve"> </w:t>
      </w:r>
      <w:r w:rsidR="00A20BB8">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Compston J</w:t>
      </w:r>
      <w:r w:rsidR="00D33E49" w:rsidRPr="005F2054">
        <w:rPr>
          <w:rFonts w:ascii="Arial" w:hAnsi="Arial" w:cs="Arial"/>
          <w:color w:val="212121"/>
          <w:shd w:val="clear" w:color="auto" w:fill="FFFFFF"/>
          <w:lang w:val="en-US"/>
        </w:rPr>
        <w:t>E</w:t>
      </w:r>
      <w:r w:rsidRPr="005F2054">
        <w:rPr>
          <w:rFonts w:ascii="Arial" w:hAnsi="Arial" w:cs="Arial"/>
          <w:color w:val="212121"/>
          <w:shd w:val="clear" w:color="auto" w:fill="FFFFFF"/>
          <w:lang w:val="en-US"/>
        </w:rPr>
        <w:t xml:space="preserve">. Osteoporosis after liver transplantation. Liver </w:t>
      </w:r>
      <w:proofErr w:type="spellStart"/>
      <w:r w:rsidRPr="005F2054">
        <w:rPr>
          <w:rFonts w:ascii="Arial" w:hAnsi="Arial" w:cs="Arial"/>
          <w:color w:val="212121"/>
          <w:shd w:val="clear" w:color="auto" w:fill="FFFFFF"/>
          <w:lang w:val="en-US"/>
        </w:rPr>
        <w:t>Transpl</w:t>
      </w:r>
      <w:proofErr w:type="spellEnd"/>
      <w:r w:rsidRPr="005F2054">
        <w:rPr>
          <w:rFonts w:ascii="Arial" w:hAnsi="Arial" w:cs="Arial"/>
          <w:color w:val="212121"/>
          <w:shd w:val="clear" w:color="auto" w:fill="FFFFFF"/>
          <w:lang w:val="en-US"/>
        </w:rPr>
        <w:t xml:space="preserve"> 2003; 9:321</w:t>
      </w:r>
      <w:r w:rsidR="007620D9" w:rsidRPr="005F2054">
        <w:rPr>
          <w:rFonts w:ascii="Arial" w:hAnsi="Arial" w:cs="Arial"/>
          <w:color w:val="212121"/>
          <w:shd w:val="clear" w:color="auto" w:fill="FFFFFF"/>
          <w:lang w:val="en-US"/>
        </w:rPr>
        <w:t>-30</w:t>
      </w:r>
      <w:r w:rsidRPr="005F2054">
        <w:rPr>
          <w:rFonts w:ascii="Arial" w:hAnsi="Arial" w:cs="Arial"/>
          <w:color w:val="212121"/>
          <w:shd w:val="clear" w:color="auto" w:fill="FFFFFF"/>
          <w:lang w:val="en-US"/>
        </w:rPr>
        <w:t>.</w:t>
      </w:r>
    </w:p>
    <w:p w14:paraId="6B859D5C" w14:textId="5A73B9CC" w:rsidR="0064791B" w:rsidRPr="005F2054" w:rsidRDefault="0064791B" w:rsidP="005F2054">
      <w:pPr>
        <w:spacing w:after="0"/>
        <w:ind w:left="576" w:hanging="576"/>
        <w:rPr>
          <w:rFonts w:ascii="Arial" w:eastAsia="Times New Roman" w:hAnsi="Arial" w:cs="Arial"/>
          <w:color w:val="5B616B"/>
          <w:lang w:val="en-US" w:eastAsia="es-ES"/>
        </w:rPr>
      </w:pPr>
      <w:r w:rsidRPr="005F2054">
        <w:rPr>
          <w:rFonts w:ascii="Arial" w:hAnsi="Arial" w:cs="Arial"/>
          <w:color w:val="212121"/>
          <w:shd w:val="clear" w:color="auto" w:fill="FFFFFF"/>
          <w:lang w:val="en-US"/>
        </w:rPr>
        <w:t>17.</w:t>
      </w:r>
      <w:r w:rsidR="00A20BB8">
        <w:rPr>
          <w:rFonts w:ascii="Arial" w:hAnsi="Arial" w:cs="Arial"/>
          <w:color w:val="212121"/>
          <w:shd w:val="clear" w:color="auto" w:fill="FFFFFF"/>
          <w:lang w:val="en-US"/>
        </w:rPr>
        <w:t xml:space="preserve"> </w:t>
      </w:r>
      <w:r w:rsidR="008E0AFA">
        <w:rPr>
          <w:rFonts w:ascii="Arial" w:hAnsi="Arial" w:cs="Arial"/>
          <w:color w:val="212121"/>
          <w:shd w:val="clear" w:color="auto" w:fill="FFFFFF"/>
          <w:lang w:val="en-US"/>
        </w:rPr>
        <w:t xml:space="preserve"> </w:t>
      </w:r>
      <w:r w:rsidRPr="005F2054">
        <w:rPr>
          <w:rFonts w:ascii="Arial" w:eastAsia="Times New Roman" w:hAnsi="Arial" w:cs="Arial"/>
          <w:color w:val="212121"/>
          <w:lang w:val="en-US" w:eastAsia="es-ES"/>
        </w:rPr>
        <w:t xml:space="preserve">  </w:t>
      </w:r>
      <w:hyperlink r:id="rId10" w:history="1">
        <w:r w:rsidRPr="005F2054">
          <w:rPr>
            <w:rFonts w:ascii="Arial" w:eastAsia="Times New Roman" w:hAnsi="Arial" w:cs="Arial"/>
            <w:lang w:val="en-US" w:eastAsia="es-ES"/>
          </w:rPr>
          <w:t xml:space="preserve">Luo Z, </w:t>
        </w:r>
      </w:hyperlink>
      <w:hyperlink r:id="rId11" w:history="1">
        <w:r w:rsidRPr="005F2054">
          <w:rPr>
            <w:rFonts w:ascii="Arial" w:eastAsia="Times New Roman" w:hAnsi="Arial" w:cs="Arial"/>
            <w:lang w:val="en-US" w:eastAsia="es-ES"/>
          </w:rPr>
          <w:t>Liu Y</w:t>
        </w:r>
      </w:hyperlink>
      <w:r w:rsidRPr="005F2054">
        <w:rPr>
          <w:rFonts w:ascii="Arial" w:eastAsia="Times New Roman" w:hAnsi="Arial" w:cs="Arial"/>
          <w:lang w:val="en-US" w:eastAsia="es-ES"/>
        </w:rPr>
        <w:t xml:space="preserve">,  Liu Y, </w:t>
      </w:r>
      <w:hyperlink r:id="rId12" w:history="1">
        <w:r w:rsidRPr="005F2054">
          <w:rPr>
            <w:rFonts w:ascii="Arial" w:eastAsia="Times New Roman" w:hAnsi="Arial" w:cs="Arial"/>
            <w:lang w:val="en-US" w:eastAsia="es-ES"/>
          </w:rPr>
          <w:t>Chen</w:t>
        </w:r>
      </w:hyperlink>
      <w:r w:rsidRPr="005F2054">
        <w:rPr>
          <w:rFonts w:ascii="Arial" w:eastAsia="Times New Roman" w:hAnsi="Arial" w:cs="Arial"/>
          <w:lang w:val="en-US" w:eastAsia="es-ES"/>
        </w:rPr>
        <w:t xml:space="preserve"> H, </w:t>
      </w:r>
      <w:hyperlink r:id="rId13" w:history="1">
        <w:r w:rsidRPr="005F2054">
          <w:rPr>
            <w:rFonts w:ascii="Arial" w:eastAsia="Times New Roman" w:hAnsi="Arial" w:cs="Arial"/>
            <w:lang w:val="en-US" w:eastAsia="es-ES"/>
          </w:rPr>
          <w:t xml:space="preserve"> Shi S</w:t>
        </w:r>
      </w:hyperlink>
      <w:r w:rsidRPr="005F2054">
        <w:rPr>
          <w:rFonts w:ascii="Arial" w:eastAsia="Times New Roman" w:hAnsi="Arial" w:cs="Arial"/>
          <w:lang w:val="en-US" w:eastAsia="es-ES"/>
        </w:rPr>
        <w:t>, </w:t>
      </w:r>
      <w:hyperlink r:id="rId14" w:history="1">
        <w:r w:rsidRPr="005F2054">
          <w:rPr>
            <w:rFonts w:ascii="Arial" w:eastAsia="Times New Roman" w:hAnsi="Arial" w:cs="Arial"/>
            <w:lang w:val="en-US" w:eastAsia="es-ES"/>
          </w:rPr>
          <w:t>Yi Liu Y.</w:t>
        </w:r>
      </w:hyperlink>
      <w:r w:rsidRPr="005F2054">
        <w:rPr>
          <w:rFonts w:ascii="Arial" w:eastAsia="Times New Roman" w:hAnsi="Arial" w:cs="Arial"/>
          <w:vertAlign w:val="superscript"/>
          <w:lang w:val="en-US" w:eastAsia="es-ES"/>
        </w:rPr>
        <w:t xml:space="preserve">  </w:t>
      </w:r>
      <w:r w:rsidRPr="005F2054">
        <w:rPr>
          <w:rFonts w:ascii="Arial" w:eastAsia="Times New Roman" w:hAnsi="Arial" w:cs="Arial"/>
          <w:color w:val="212121"/>
          <w:kern w:val="36"/>
          <w:lang w:val="en-US" w:eastAsia="es-ES"/>
        </w:rPr>
        <w:t>Cellular and molecular mechanisms of alcohol-induced osteopenia</w:t>
      </w:r>
      <w:r w:rsidRPr="005F2054">
        <w:rPr>
          <w:rFonts w:ascii="Arial" w:eastAsia="Times New Roman" w:hAnsi="Arial" w:cs="Arial"/>
          <w:color w:val="000000" w:themeColor="text1"/>
          <w:kern w:val="36"/>
          <w:lang w:val="en-US" w:eastAsia="es-ES"/>
        </w:rPr>
        <w:t>. C</w:t>
      </w:r>
      <w:r w:rsidRPr="005F2054">
        <w:rPr>
          <w:rFonts w:ascii="Arial" w:eastAsia="Times New Roman" w:hAnsi="Arial" w:cs="Arial"/>
          <w:color w:val="000000" w:themeColor="text1"/>
          <w:lang w:val="en-US" w:eastAsia="es-ES"/>
        </w:rPr>
        <w:t>ell Mol Life Sci 2017:74:4443-53</w:t>
      </w:r>
    </w:p>
    <w:p w14:paraId="7FF2B5FF" w14:textId="13496266" w:rsidR="0064791B" w:rsidRPr="005F2054" w:rsidRDefault="0064791B" w:rsidP="005F2054">
      <w:pPr>
        <w:spacing w:after="0"/>
        <w:ind w:left="576" w:hanging="576"/>
        <w:rPr>
          <w:rFonts w:ascii="Arial" w:hAnsi="Arial" w:cs="Arial"/>
          <w:color w:val="4D8055"/>
          <w:shd w:val="clear" w:color="auto" w:fill="FFFFFF"/>
          <w:lang w:val="en-US"/>
        </w:rPr>
      </w:pPr>
      <w:r w:rsidRPr="005F2054">
        <w:rPr>
          <w:rFonts w:ascii="Arial" w:eastAsia="Times New Roman" w:hAnsi="Arial" w:cs="Arial"/>
          <w:lang w:val="en-US" w:eastAsia="es-ES"/>
        </w:rPr>
        <w:t>18.</w:t>
      </w:r>
      <w:r w:rsidR="008E0AFA">
        <w:rPr>
          <w:rFonts w:ascii="Arial" w:eastAsia="Times New Roman" w:hAnsi="Arial" w:cs="Arial"/>
          <w:lang w:val="en-US" w:eastAsia="es-ES"/>
        </w:rPr>
        <w:t xml:space="preserve">   </w:t>
      </w:r>
      <w:r w:rsidRPr="005F2054">
        <w:rPr>
          <w:rFonts w:ascii="Arial" w:hAnsi="Arial" w:cs="Arial"/>
          <w:lang w:val="en-US"/>
        </w:rPr>
        <w:t xml:space="preserve"> </w:t>
      </w:r>
      <w:proofErr w:type="spellStart"/>
      <w:r w:rsidRPr="005F2054">
        <w:rPr>
          <w:rFonts w:ascii="Arial" w:hAnsi="Arial" w:cs="Arial"/>
          <w:lang w:val="en-US"/>
        </w:rPr>
        <w:t>Guañabens</w:t>
      </w:r>
      <w:proofErr w:type="spellEnd"/>
      <w:r w:rsidRPr="005F2054">
        <w:rPr>
          <w:rFonts w:ascii="Arial" w:hAnsi="Arial" w:cs="Arial"/>
          <w:lang w:val="en-US"/>
        </w:rPr>
        <w:t xml:space="preserve"> N,  </w:t>
      </w:r>
      <w:proofErr w:type="spellStart"/>
      <w:r w:rsidRPr="005F2054">
        <w:rPr>
          <w:rFonts w:ascii="Arial" w:hAnsi="Arial" w:cs="Arial"/>
          <w:lang w:val="en-US"/>
        </w:rPr>
        <w:t>Parés</w:t>
      </w:r>
      <w:proofErr w:type="spellEnd"/>
      <w:r w:rsidRPr="005F2054">
        <w:rPr>
          <w:rFonts w:ascii="Arial" w:hAnsi="Arial" w:cs="Arial"/>
          <w:lang w:val="en-US"/>
        </w:rPr>
        <w:t xml:space="preserve"> A. </w:t>
      </w:r>
      <w:r w:rsidR="006A1A5E" w:rsidRPr="005F2054">
        <w:rPr>
          <w:rFonts w:ascii="Arial" w:hAnsi="Arial" w:cs="Arial"/>
          <w:lang w:val="en-US"/>
        </w:rPr>
        <w:t xml:space="preserve"> </w:t>
      </w:r>
      <w:r w:rsidRPr="005F2054">
        <w:rPr>
          <w:rFonts w:ascii="Arial" w:hAnsi="Arial" w:cs="Arial"/>
          <w:lang w:val="en-US"/>
        </w:rPr>
        <w:t>Liver and bone.</w:t>
      </w:r>
      <w:r w:rsidR="006A1A5E" w:rsidRPr="005F2054">
        <w:rPr>
          <w:rFonts w:ascii="Arial" w:hAnsi="Arial" w:cs="Arial"/>
          <w:lang w:val="en-US"/>
        </w:rPr>
        <w:t xml:space="preserve"> </w:t>
      </w:r>
      <w:r w:rsidRPr="005F2054">
        <w:rPr>
          <w:rFonts w:ascii="Arial" w:hAnsi="Arial" w:cs="Arial"/>
          <w:shd w:val="clear" w:color="auto" w:fill="FFFFFF"/>
          <w:lang w:val="en-US"/>
        </w:rPr>
        <w:t xml:space="preserve">Arch </w:t>
      </w:r>
      <w:proofErr w:type="spellStart"/>
      <w:r w:rsidRPr="005F2054">
        <w:rPr>
          <w:rFonts w:ascii="Arial" w:hAnsi="Arial" w:cs="Arial"/>
          <w:shd w:val="clear" w:color="auto" w:fill="FFFFFF"/>
          <w:lang w:val="en-US"/>
        </w:rPr>
        <w:t>Biochem</w:t>
      </w:r>
      <w:proofErr w:type="spellEnd"/>
      <w:r w:rsidRPr="005F2054">
        <w:rPr>
          <w:rFonts w:ascii="Arial" w:hAnsi="Arial" w:cs="Arial"/>
          <w:shd w:val="clear" w:color="auto" w:fill="FFFFFF"/>
          <w:lang w:val="en-US"/>
        </w:rPr>
        <w:t xml:space="preserve"> </w:t>
      </w:r>
      <w:proofErr w:type="spellStart"/>
      <w:r w:rsidRPr="005F2054">
        <w:rPr>
          <w:rFonts w:ascii="Arial" w:hAnsi="Arial" w:cs="Arial"/>
          <w:shd w:val="clear" w:color="auto" w:fill="FFFFFF"/>
          <w:lang w:val="en-US"/>
        </w:rPr>
        <w:t>Biophys</w:t>
      </w:r>
      <w:proofErr w:type="spellEnd"/>
      <w:r w:rsidRPr="005F2054">
        <w:rPr>
          <w:rFonts w:ascii="Arial" w:hAnsi="Arial" w:cs="Arial"/>
          <w:shd w:val="clear" w:color="auto" w:fill="FFFFFF"/>
          <w:lang w:val="en-US"/>
        </w:rPr>
        <w:t xml:space="preserve">. </w:t>
      </w:r>
      <w:r w:rsidR="002C0D67" w:rsidRPr="005F2054">
        <w:rPr>
          <w:rFonts w:ascii="Arial" w:hAnsi="Arial" w:cs="Arial"/>
          <w:shd w:val="clear" w:color="auto" w:fill="FFFFFF"/>
          <w:lang w:val="en-US"/>
        </w:rPr>
        <w:t>2010; 503</w:t>
      </w:r>
      <w:r w:rsidRPr="005F2054">
        <w:rPr>
          <w:rFonts w:ascii="Arial" w:hAnsi="Arial" w:cs="Arial"/>
          <w:shd w:val="clear" w:color="auto" w:fill="FFFFFF"/>
          <w:lang w:val="en-US"/>
        </w:rPr>
        <w:t>(1):84-94</w:t>
      </w:r>
      <w:r w:rsidRPr="005F2054">
        <w:rPr>
          <w:rFonts w:ascii="Arial" w:hAnsi="Arial" w:cs="Arial"/>
          <w:color w:val="4D8055"/>
          <w:shd w:val="clear" w:color="auto" w:fill="FFFFFF"/>
          <w:lang w:val="en-US"/>
        </w:rPr>
        <w:t>.</w:t>
      </w:r>
    </w:p>
    <w:p w14:paraId="5C9D449B" w14:textId="077DF2F8" w:rsidR="0047090D" w:rsidRPr="005F2054" w:rsidRDefault="0064791B" w:rsidP="005F2054">
      <w:pPr>
        <w:spacing w:after="0"/>
        <w:ind w:left="576" w:hanging="576"/>
        <w:rPr>
          <w:rFonts w:ascii="Arial" w:hAnsi="Arial" w:cs="Arial"/>
          <w:lang w:val="en-US"/>
        </w:rPr>
      </w:pPr>
      <w:r w:rsidRPr="005F2054">
        <w:rPr>
          <w:rFonts w:ascii="Arial" w:hAnsi="Arial" w:cs="Arial"/>
          <w:color w:val="4D8055"/>
          <w:shd w:val="clear" w:color="auto" w:fill="FFFFFF"/>
          <w:lang w:val="en-US"/>
        </w:rPr>
        <w:t>19.</w:t>
      </w:r>
      <w:r w:rsidR="008E0AFA">
        <w:rPr>
          <w:rFonts w:ascii="Arial" w:hAnsi="Arial" w:cs="Arial"/>
          <w:color w:val="4D8055"/>
          <w:shd w:val="clear" w:color="auto" w:fill="FFFFFF"/>
          <w:lang w:val="en-US"/>
        </w:rPr>
        <w:t xml:space="preserve">   </w:t>
      </w:r>
      <w:r w:rsidRPr="005F2054">
        <w:rPr>
          <w:rFonts w:ascii="Arial" w:hAnsi="Arial" w:cs="Arial"/>
          <w:lang w:val="en-US"/>
        </w:rPr>
        <w:t xml:space="preserve"> </w:t>
      </w:r>
      <w:r w:rsidR="0047090D" w:rsidRPr="005F2054">
        <w:rPr>
          <w:rFonts w:ascii="Arial" w:hAnsi="Arial" w:cs="Arial"/>
          <w:lang w:val="en-US"/>
        </w:rPr>
        <w:t xml:space="preserve">Vedi S, Greer S, </w:t>
      </w:r>
      <w:proofErr w:type="spellStart"/>
      <w:r w:rsidR="0047090D" w:rsidRPr="005F2054">
        <w:rPr>
          <w:rFonts w:ascii="Arial" w:hAnsi="Arial" w:cs="Arial"/>
          <w:lang w:val="en-US"/>
        </w:rPr>
        <w:t>Skingle</w:t>
      </w:r>
      <w:proofErr w:type="spellEnd"/>
      <w:r w:rsidR="0047090D" w:rsidRPr="005F2054">
        <w:rPr>
          <w:rFonts w:ascii="Arial" w:hAnsi="Arial" w:cs="Arial"/>
          <w:lang w:val="en-US"/>
        </w:rPr>
        <w:t xml:space="preserve"> SJ</w:t>
      </w:r>
      <w:r w:rsidR="00D33E49" w:rsidRPr="005F2054">
        <w:rPr>
          <w:rFonts w:ascii="Arial" w:hAnsi="Arial" w:cs="Arial"/>
          <w:lang w:val="en-US"/>
        </w:rPr>
        <w:t xml:space="preserve">, </w:t>
      </w:r>
      <w:proofErr w:type="spellStart"/>
      <w:r w:rsidR="00D33E49" w:rsidRPr="005F2054">
        <w:rPr>
          <w:rFonts w:ascii="Arial" w:hAnsi="Arial" w:cs="Arial"/>
          <w:lang w:val="en-US"/>
        </w:rPr>
        <w:t>Garrajam</w:t>
      </w:r>
      <w:proofErr w:type="spellEnd"/>
      <w:r w:rsidR="00D33E49" w:rsidRPr="005F2054">
        <w:rPr>
          <w:rFonts w:ascii="Arial" w:hAnsi="Arial" w:cs="Arial"/>
          <w:lang w:val="en-US"/>
        </w:rPr>
        <w:t xml:space="preserve"> NJ, Ninkovic M, Alexander GA, Compston </w:t>
      </w:r>
      <w:proofErr w:type="spellStart"/>
      <w:r w:rsidR="00D33E49" w:rsidRPr="005F2054">
        <w:rPr>
          <w:rFonts w:ascii="Arial" w:hAnsi="Arial" w:cs="Arial"/>
          <w:lang w:val="en-US"/>
        </w:rPr>
        <w:t>JE.Mecha</w:t>
      </w:r>
      <w:r w:rsidR="0047090D" w:rsidRPr="005F2054">
        <w:rPr>
          <w:rFonts w:ascii="Arial" w:hAnsi="Arial" w:cs="Arial"/>
          <w:lang w:val="en-US"/>
        </w:rPr>
        <w:t>nism</w:t>
      </w:r>
      <w:proofErr w:type="spellEnd"/>
      <w:r w:rsidR="0047090D" w:rsidRPr="005F2054">
        <w:rPr>
          <w:rFonts w:ascii="Arial" w:hAnsi="Arial" w:cs="Arial"/>
          <w:lang w:val="en-US"/>
        </w:rPr>
        <w:t xml:space="preserve"> of bone loss after liver transplantation: a </w:t>
      </w:r>
      <w:proofErr w:type="spellStart"/>
      <w:r w:rsidR="0047090D" w:rsidRPr="005F2054">
        <w:rPr>
          <w:rFonts w:ascii="Arial" w:hAnsi="Arial" w:cs="Arial"/>
          <w:lang w:val="en-US"/>
        </w:rPr>
        <w:t>histomorphometric</w:t>
      </w:r>
      <w:proofErr w:type="spellEnd"/>
      <w:r w:rsidR="0047090D" w:rsidRPr="005F2054">
        <w:rPr>
          <w:rFonts w:ascii="Arial" w:hAnsi="Arial" w:cs="Arial"/>
          <w:lang w:val="en-US"/>
        </w:rPr>
        <w:t xml:space="preserve"> analysis. J Bone Miner Res </w:t>
      </w:r>
      <w:r w:rsidR="000D36B9" w:rsidRPr="005F2054">
        <w:rPr>
          <w:rFonts w:ascii="Arial" w:hAnsi="Arial" w:cs="Arial"/>
          <w:lang w:val="en-US"/>
        </w:rPr>
        <w:t>1999; 13:281</w:t>
      </w:r>
      <w:r w:rsidR="0047090D" w:rsidRPr="005F2054">
        <w:rPr>
          <w:rFonts w:ascii="Arial" w:hAnsi="Arial" w:cs="Arial"/>
          <w:lang w:val="en-US"/>
        </w:rPr>
        <w:t>-7</w:t>
      </w:r>
    </w:p>
    <w:p w14:paraId="494CEA36" w14:textId="414CDB25" w:rsidR="0064791B" w:rsidRPr="005F2054" w:rsidRDefault="0064791B" w:rsidP="005F2054">
      <w:pPr>
        <w:spacing w:after="0"/>
        <w:ind w:left="576" w:hanging="576"/>
        <w:rPr>
          <w:rFonts w:ascii="Arial" w:eastAsia="Times New Roman" w:hAnsi="Arial" w:cs="Arial"/>
          <w:lang w:val="en-US" w:eastAsia="es-ES"/>
        </w:rPr>
      </w:pPr>
      <w:r w:rsidRPr="005F2054">
        <w:rPr>
          <w:rFonts w:ascii="Arial" w:eastAsia="Times New Roman" w:hAnsi="Arial" w:cs="Arial"/>
          <w:lang w:val="en-US" w:eastAsia="es-ES"/>
        </w:rPr>
        <w:t>20.</w:t>
      </w:r>
      <w:r w:rsidR="008E0AFA">
        <w:rPr>
          <w:rFonts w:ascii="Arial" w:eastAsia="Times New Roman" w:hAnsi="Arial" w:cs="Arial"/>
          <w:lang w:val="en-US" w:eastAsia="es-ES"/>
        </w:rPr>
        <w:t xml:space="preserve">    </w:t>
      </w:r>
      <w:proofErr w:type="spellStart"/>
      <w:r w:rsidRPr="005F2054">
        <w:rPr>
          <w:rFonts w:ascii="Arial" w:eastAsia="Times New Roman" w:hAnsi="Arial" w:cs="Arial"/>
          <w:lang w:val="en-US" w:eastAsia="es-ES"/>
        </w:rPr>
        <w:t>Forien</w:t>
      </w:r>
      <w:proofErr w:type="spellEnd"/>
      <w:r w:rsidRPr="005F2054">
        <w:rPr>
          <w:rFonts w:ascii="Arial" w:eastAsia="Times New Roman" w:hAnsi="Arial" w:cs="Arial"/>
          <w:lang w:val="en-US" w:eastAsia="es-ES"/>
        </w:rPr>
        <w:t xml:space="preserve"> M, </w:t>
      </w:r>
      <w:proofErr w:type="spellStart"/>
      <w:r w:rsidRPr="005F2054">
        <w:rPr>
          <w:rFonts w:ascii="Arial" w:eastAsia="Times New Roman" w:hAnsi="Arial" w:cs="Arial"/>
          <w:lang w:val="en-US" w:eastAsia="es-ES"/>
        </w:rPr>
        <w:t>Coralli</w:t>
      </w:r>
      <w:proofErr w:type="spellEnd"/>
      <w:r w:rsidRPr="005F2054">
        <w:rPr>
          <w:rFonts w:ascii="Arial" w:eastAsia="Times New Roman" w:hAnsi="Arial" w:cs="Arial"/>
          <w:lang w:val="en-US" w:eastAsia="es-ES"/>
        </w:rPr>
        <w:t xml:space="preserve"> R, Verdonk C, Ottaviani S, Ebstein E, Demaria L, Palazzo E, Dorent </w:t>
      </w:r>
      <w:r w:rsidR="004612FE" w:rsidRPr="005F2054">
        <w:rPr>
          <w:rFonts w:ascii="Arial" w:eastAsia="Times New Roman" w:hAnsi="Arial" w:cs="Arial"/>
          <w:lang w:val="en-US" w:eastAsia="es-ES"/>
        </w:rPr>
        <w:t>R</w:t>
      </w:r>
      <w:r w:rsidRPr="005F2054">
        <w:rPr>
          <w:rFonts w:ascii="Arial" w:eastAsia="Times New Roman" w:hAnsi="Arial" w:cs="Arial"/>
          <w:lang w:val="en-US" w:eastAsia="es-ES"/>
        </w:rPr>
        <w:t xml:space="preserve">, </w:t>
      </w:r>
      <w:proofErr w:type="spellStart"/>
      <w:r w:rsidRPr="005F2054">
        <w:rPr>
          <w:rFonts w:ascii="Arial" w:eastAsia="Times New Roman" w:hAnsi="Arial" w:cs="Arial"/>
          <w:lang w:val="en-US" w:eastAsia="es-ES"/>
        </w:rPr>
        <w:t>Dieude</w:t>
      </w:r>
      <w:proofErr w:type="spellEnd"/>
      <w:r w:rsidRPr="005F2054">
        <w:rPr>
          <w:rFonts w:ascii="Arial" w:eastAsia="Times New Roman" w:hAnsi="Arial" w:cs="Arial"/>
          <w:lang w:val="en-US" w:eastAsia="es-ES"/>
        </w:rPr>
        <w:t xml:space="preserve"> P. Osteoporosis and risk of fracture in heart transplant patients. Frontiers in Endocrinology </w:t>
      </w:r>
      <w:r w:rsidR="00712B80" w:rsidRPr="005F2054">
        <w:rPr>
          <w:rFonts w:ascii="Arial" w:eastAsia="Times New Roman" w:hAnsi="Arial" w:cs="Arial"/>
          <w:lang w:val="en-US" w:eastAsia="es-ES"/>
        </w:rPr>
        <w:t>2023;</w:t>
      </w:r>
      <w:r w:rsidR="00712B80" w:rsidRPr="005F2054">
        <w:rPr>
          <w:rFonts w:ascii="Arial" w:hAnsi="Arial" w:cs="Arial"/>
          <w:shd w:val="clear" w:color="auto" w:fill="FFFFFF"/>
          <w:lang w:val="en-US"/>
        </w:rPr>
        <w:t xml:space="preserve"> 13:14:1252966</w:t>
      </w:r>
    </w:p>
    <w:p w14:paraId="26C1F508" w14:textId="38EE9155" w:rsidR="0064791B" w:rsidRPr="005F2054" w:rsidRDefault="0064791B" w:rsidP="005F2054">
      <w:pPr>
        <w:spacing w:after="0"/>
        <w:ind w:left="576" w:hanging="576"/>
        <w:rPr>
          <w:rFonts w:ascii="Arial" w:eastAsia="Times New Roman" w:hAnsi="Arial" w:cs="Arial"/>
          <w:lang w:val="en-US" w:eastAsia="es-ES"/>
        </w:rPr>
      </w:pPr>
      <w:r w:rsidRPr="005F2054">
        <w:rPr>
          <w:rFonts w:ascii="Arial" w:eastAsia="Times New Roman" w:hAnsi="Arial" w:cs="Arial"/>
          <w:lang w:val="en-US" w:eastAsia="es-ES"/>
        </w:rPr>
        <w:t>21.</w:t>
      </w:r>
      <w:r w:rsidR="008E0AFA">
        <w:rPr>
          <w:rFonts w:ascii="Arial" w:eastAsia="Times New Roman" w:hAnsi="Arial" w:cs="Arial"/>
          <w:lang w:val="en-US" w:eastAsia="es-ES"/>
        </w:rPr>
        <w:t xml:space="preserve">    </w:t>
      </w:r>
      <w:r w:rsidRPr="005F2054">
        <w:rPr>
          <w:rFonts w:ascii="Arial" w:eastAsia="Times New Roman" w:hAnsi="Arial" w:cs="Arial"/>
          <w:lang w:val="en-US" w:eastAsia="es-ES"/>
        </w:rPr>
        <w:t>Shane E, Rivas M, McMahon DJ, Staron RB, Silverberg SJ, Seibel MJ</w:t>
      </w:r>
      <w:r w:rsidR="004612FE" w:rsidRPr="005F2054">
        <w:rPr>
          <w:rFonts w:ascii="Arial" w:eastAsia="Times New Roman" w:hAnsi="Arial" w:cs="Arial"/>
          <w:lang w:val="en-US" w:eastAsia="es-ES"/>
        </w:rPr>
        <w:t xml:space="preserve">, Mancini </w:t>
      </w:r>
      <w:r w:rsidR="006A1A5E" w:rsidRPr="005F2054">
        <w:rPr>
          <w:rFonts w:ascii="Arial" w:eastAsia="Times New Roman" w:hAnsi="Arial" w:cs="Arial"/>
          <w:lang w:val="en-US" w:eastAsia="es-ES"/>
        </w:rPr>
        <w:t>D</w:t>
      </w:r>
      <w:r w:rsidR="004612FE" w:rsidRPr="005F2054">
        <w:rPr>
          <w:rFonts w:ascii="Arial" w:eastAsia="Times New Roman" w:hAnsi="Arial" w:cs="Arial"/>
          <w:lang w:val="en-US" w:eastAsia="es-ES"/>
        </w:rPr>
        <w:t>, Michler RE, Aaronson K, Addesso V, Lo SH.</w:t>
      </w:r>
      <w:r w:rsidRPr="005F2054">
        <w:rPr>
          <w:rFonts w:ascii="Arial" w:eastAsia="Times New Roman" w:hAnsi="Arial" w:cs="Arial"/>
          <w:lang w:val="en-US" w:eastAsia="es-ES"/>
        </w:rPr>
        <w:t xml:space="preserve"> Bone loss and turnover after cardiac transplantation. J Clin Endocrinol </w:t>
      </w:r>
      <w:proofErr w:type="spellStart"/>
      <w:r w:rsidRPr="005F2054">
        <w:rPr>
          <w:rFonts w:ascii="Arial" w:eastAsia="Times New Roman" w:hAnsi="Arial" w:cs="Arial"/>
          <w:lang w:val="en-US" w:eastAsia="es-ES"/>
        </w:rPr>
        <w:t>Metab</w:t>
      </w:r>
      <w:proofErr w:type="spellEnd"/>
      <w:r w:rsidRPr="005F2054">
        <w:rPr>
          <w:rFonts w:ascii="Arial" w:eastAsia="Times New Roman" w:hAnsi="Arial" w:cs="Arial"/>
          <w:lang w:val="en-US" w:eastAsia="es-ES"/>
        </w:rPr>
        <w:t xml:space="preserve"> 1997; 821:1497-1506</w:t>
      </w:r>
    </w:p>
    <w:p w14:paraId="79E1FE75" w14:textId="0F759F2E" w:rsidR="0064791B" w:rsidRPr="005F2054" w:rsidRDefault="0064791B" w:rsidP="005F2054">
      <w:pPr>
        <w:shd w:val="clear" w:color="auto" w:fill="FFFFFF"/>
        <w:spacing w:after="0"/>
        <w:ind w:left="576" w:hanging="576"/>
        <w:rPr>
          <w:rFonts w:ascii="Arial" w:eastAsia="Times New Roman" w:hAnsi="Arial" w:cs="Arial"/>
          <w:color w:val="5B616B"/>
          <w:lang w:val="en-US" w:eastAsia="es-ES"/>
        </w:rPr>
      </w:pPr>
      <w:r w:rsidRPr="005F2054">
        <w:rPr>
          <w:rFonts w:ascii="Arial" w:eastAsia="Times New Roman" w:hAnsi="Arial" w:cs="Arial"/>
          <w:color w:val="000000" w:themeColor="text1"/>
          <w:lang w:val="en-US" w:eastAsia="es-ES"/>
        </w:rPr>
        <w:t>22.</w:t>
      </w:r>
      <w:r w:rsidR="008E0AFA">
        <w:rPr>
          <w:rFonts w:ascii="Arial" w:eastAsia="Times New Roman" w:hAnsi="Arial" w:cs="Arial"/>
          <w:color w:val="000000" w:themeColor="text1"/>
          <w:lang w:val="en-US" w:eastAsia="es-ES"/>
        </w:rPr>
        <w:t xml:space="preserve">    </w:t>
      </w:r>
      <w:r w:rsidRPr="005F2054">
        <w:rPr>
          <w:rFonts w:ascii="Arial" w:eastAsia="Times New Roman" w:hAnsi="Arial" w:cs="Arial"/>
          <w:color w:val="000000" w:themeColor="text1"/>
          <w:lang w:val="en-US" w:eastAsia="es-ES"/>
        </w:rPr>
        <w:t>Garcia Delgado I, Gil-</w:t>
      </w:r>
      <w:proofErr w:type="spellStart"/>
      <w:r w:rsidRPr="005F2054">
        <w:rPr>
          <w:rFonts w:ascii="Arial" w:eastAsia="Times New Roman" w:hAnsi="Arial" w:cs="Arial"/>
          <w:color w:val="000000" w:themeColor="text1"/>
          <w:lang w:val="en-US" w:eastAsia="es-ES"/>
        </w:rPr>
        <w:t>Fraguas</w:t>
      </w:r>
      <w:proofErr w:type="spellEnd"/>
      <w:r w:rsidRPr="005F2054">
        <w:rPr>
          <w:rFonts w:ascii="Arial" w:eastAsia="Times New Roman" w:hAnsi="Arial" w:cs="Arial"/>
          <w:color w:val="000000" w:themeColor="text1"/>
          <w:lang w:val="en-US" w:eastAsia="es-ES"/>
        </w:rPr>
        <w:t xml:space="preserve"> L, Robles E, Martinez G, Hawkins F. </w:t>
      </w:r>
      <w:r w:rsidRPr="005F2054">
        <w:rPr>
          <w:rFonts w:ascii="Arial" w:eastAsia="Times New Roman" w:hAnsi="Arial" w:cs="Arial"/>
          <w:color w:val="000000" w:themeColor="text1"/>
          <w:kern w:val="36"/>
          <w:lang w:val="en-US" w:eastAsia="es-ES"/>
        </w:rPr>
        <w:t>Clinical factors associated with bone mass loss previous cardiac transplantation</w:t>
      </w:r>
      <w:r w:rsidRPr="005F2054">
        <w:rPr>
          <w:rFonts w:ascii="Arial" w:eastAsia="Times New Roman" w:hAnsi="Arial" w:cs="Arial"/>
          <w:kern w:val="36"/>
          <w:lang w:val="en-US" w:eastAsia="es-ES"/>
        </w:rPr>
        <w:t xml:space="preserve">. </w:t>
      </w:r>
      <w:r w:rsidRPr="005F2054">
        <w:rPr>
          <w:rFonts w:ascii="Arial" w:eastAsia="Times New Roman" w:hAnsi="Arial" w:cs="Arial"/>
          <w:lang w:val="en-US" w:eastAsia="es-ES"/>
        </w:rPr>
        <w:t>Med Clin (</w:t>
      </w:r>
      <w:proofErr w:type="spellStart"/>
      <w:r w:rsidRPr="005F2054">
        <w:rPr>
          <w:rFonts w:ascii="Arial" w:eastAsia="Times New Roman" w:hAnsi="Arial" w:cs="Arial"/>
          <w:lang w:val="en-US" w:eastAsia="es-ES"/>
        </w:rPr>
        <w:t>Barc</w:t>
      </w:r>
      <w:proofErr w:type="spellEnd"/>
      <w:r w:rsidRPr="005F2054">
        <w:rPr>
          <w:rFonts w:ascii="Arial" w:eastAsia="Times New Roman" w:hAnsi="Arial" w:cs="Arial"/>
          <w:color w:val="5B616B"/>
          <w:lang w:val="en-US" w:eastAsia="es-ES"/>
        </w:rPr>
        <w:t>)</w:t>
      </w:r>
      <w:r w:rsidRPr="005F2054">
        <w:rPr>
          <w:rFonts w:ascii="Arial" w:eastAsia="Times New Roman" w:hAnsi="Arial" w:cs="Arial"/>
          <w:color w:val="000000" w:themeColor="text1"/>
          <w:lang w:val="en-US" w:eastAsia="es-ES"/>
        </w:rPr>
        <w:t>2000; 114:761-764.</w:t>
      </w:r>
    </w:p>
    <w:p w14:paraId="6DEBC470" w14:textId="1EFE6D0A" w:rsidR="0064791B" w:rsidRPr="005F2054" w:rsidRDefault="0064791B" w:rsidP="005F2054">
      <w:pPr>
        <w:spacing w:after="0"/>
        <w:ind w:left="576" w:hanging="576"/>
        <w:rPr>
          <w:rFonts w:ascii="Arial" w:eastAsia="Times New Roman" w:hAnsi="Arial" w:cs="Arial"/>
          <w:lang w:val="en-US" w:eastAsia="es-ES"/>
        </w:rPr>
      </w:pPr>
      <w:r w:rsidRPr="005F2054">
        <w:rPr>
          <w:rFonts w:ascii="Arial" w:eastAsia="Times New Roman" w:hAnsi="Arial" w:cs="Arial"/>
          <w:lang w:val="en-US" w:eastAsia="es-ES"/>
        </w:rPr>
        <w:t>23.</w:t>
      </w:r>
      <w:r w:rsidR="008E0AFA">
        <w:rPr>
          <w:rFonts w:ascii="Arial" w:eastAsia="Times New Roman" w:hAnsi="Arial" w:cs="Arial"/>
          <w:lang w:val="en-US" w:eastAsia="es-ES"/>
        </w:rPr>
        <w:t xml:space="preserve">   </w:t>
      </w:r>
      <w:r w:rsidRPr="005F2054">
        <w:rPr>
          <w:rFonts w:ascii="Arial" w:eastAsia="Times New Roman" w:hAnsi="Arial" w:cs="Arial"/>
          <w:lang w:val="en-US" w:eastAsia="es-ES"/>
        </w:rPr>
        <w:t xml:space="preserve"> Iqbal N, Ducharme J, Desai S, Chamber S, </w:t>
      </w:r>
      <w:proofErr w:type="spellStart"/>
      <w:r w:rsidRPr="005F2054">
        <w:rPr>
          <w:rFonts w:ascii="Arial" w:eastAsia="Times New Roman" w:hAnsi="Arial" w:cs="Arial"/>
          <w:lang w:val="en-US" w:eastAsia="es-ES"/>
        </w:rPr>
        <w:t>Terembula</w:t>
      </w:r>
      <w:proofErr w:type="spellEnd"/>
      <w:r w:rsidRPr="005F2054">
        <w:rPr>
          <w:rFonts w:ascii="Arial" w:eastAsia="Times New Roman" w:hAnsi="Arial" w:cs="Arial"/>
          <w:lang w:val="en-US" w:eastAsia="es-ES"/>
        </w:rPr>
        <w:t xml:space="preserve"> K, Chan GW, Shults, Leonard MB, </w:t>
      </w:r>
      <w:proofErr w:type="spellStart"/>
      <w:r w:rsidRPr="005F2054">
        <w:rPr>
          <w:rFonts w:ascii="Arial" w:eastAsia="Times New Roman" w:hAnsi="Arial" w:cs="Arial"/>
          <w:lang w:val="en-US" w:eastAsia="es-ES"/>
        </w:rPr>
        <w:t>Kumanyka</w:t>
      </w:r>
      <w:proofErr w:type="spellEnd"/>
      <w:r w:rsidRPr="005F2054">
        <w:rPr>
          <w:rFonts w:ascii="Arial" w:eastAsia="Times New Roman" w:hAnsi="Arial" w:cs="Arial"/>
          <w:lang w:val="en-US" w:eastAsia="es-ES"/>
        </w:rPr>
        <w:t xml:space="preserve"> S. Status of bone mineral density in patients selected for cardiac transplantation. Endocrine </w:t>
      </w:r>
      <w:proofErr w:type="spellStart"/>
      <w:r w:rsidRPr="005F2054">
        <w:rPr>
          <w:rFonts w:ascii="Arial" w:eastAsia="Times New Roman" w:hAnsi="Arial" w:cs="Arial"/>
          <w:lang w:val="en-US" w:eastAsia="es-ES"/>
        </w:rPr>
        <w:t>Practie</w:t>
      </w:r>
      <w:proofErr w:type="spellEnd"/>
      <w:r w:rsidRPr="005F2054">
        <w:rPr>
          <w:rFonts w:ascii="Arial" w:eastAsia="Times New Roman" w:hAnsi="Arial" w:cs="Arial"/>
          <w:lang w:val="en-US" w:eastAsia="es-ES"/>
        </w:rPr>
        <w:t xml:space="preserve"> 2008; 15:704-712</w:t>
      </w:r>
    </w:p>
    <w:p w14:paraId="08DBF94C" w14:textId="19B83B2E" w:rsidR="0064791B" w:rsidRPr="005F2054" w:rsidRDefault="0064791B" w:rsidP="005F2054">
      <w:pPr>
        <w:spacing w:after="0"/>
        <w:ind w:left="576" w:hanging="576"/>
        <w:rPr>
          <w:rFonts w:ascii="Arial" w:eastAsia="Times New Roman" w:hAnsi="Arial" w:cs="Arial"/>
          <w:lang w:val="en-US" w:eastAsia="es-ES"/>
        </w:rPr>
      </w:pPr>
      <w:r w:rsidRPr="005F2054">
        <w:rPr>
          <w:rFonts w:ascii="Arial" w:eastAsia="Times New Roman" w:hAnsi="Arial" w:cs="Arial"/>
          <w:lang w:val="en-US" w:eastAsia="es-ES"/>
        </w:rPr>
        <w:t>24.</w:t>
      </w:r>
      <w:r w:rsidR="008E0AFA">
        <w:rPr>
          <w:rFonts w:ascii="Arial" w:eastAsia="Times New Roman" w:hAnsi="Arial" w:cs="Arial"/>
          <w:lang w:val="en-US" w:eastAsia="es-ES"/>
        </w:rPr>
        <w:t xml:space="preserve">    </w:t>
      </w:r>
      <w:r w:rsidRPr="005F2054">
        <w:rPr>
          <w:rFonts w:ascii="Arial" w:eastAsia="Times New Roman" w:hAnsi="Arial" w:cs="Arial"/>
          <w:lang w:val="en-US" w:eastAsia="es-ES"/>
        </w:rPr>
        <w:t xml:space="preserve">Cohen A, Shane E. Osteoporosis after solid organ and bone marrow transplantation. </w:t>
      </w:r>
      <w:proofErr w:type="spellStart"/>
      <w:r w:rsidRPr="005F2054">
        <w:rPr>
          <w:rFonts w:ascii="Arial" w:eastAsia="Times New Roman" w:hAnsi="Arial" w:cs="Arial"/>
          <w:lang w:val="en-US" w:eastAsia="es-ES"/>
        </w:rPr>
        <w:t>Osteoporos</w:t>
      </w:r>
      <w:proofErr w:type="spellEnd"/>
      <w:r w:rsidRPr="005F2054">
        <w:rPr>
          <w:rFonts w:ascii="Arial" w:eastAsia="Times New Roman" w:hAnsi="Arial" w:cs="Arial"/>
          <w:lang w:val="en-US" w:eastAsia="es-ES"/>
        </w:rPr>
        <w:t xml:space="preserve"> Int 2003:14:617-30</w:t>
      </w:r>
    </w:p>
    <w:p w14:paraId="79F78EC8" w14:textId="674FD620"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25.</w:t>
      </w:r>
      <w:r w:rsidR="008E0AFA">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Shane e, Silverberg SJ, Donovan D, Papadopoulos A, Staron RB, Addesso V, </w:t>
      </w:r>
      <w:proofErr w:type="spellStart"/>
      <w:r w:rsidRPr="005F2054">
        <w:rPr>
          <w:rFonts w:ascii="Arial" w:hAnsi="Arial" w:cs="Arial"/>
          <w:color w:val="212121"/>
          <w:shd w:val="clear" w:color="auto" w:fill="FFFFFF"/>
          <w:lang w:val="en-US"/>
        </w:rPr>
        <w:t>Jorgesen</w:t>
      </w:r>
      <w:proofErr w:type="spellEnd"/>
      <w:r w:rsidRPr="005F2054">
        <w:rPr>
          <w:rFonts w:ascii="Arial" w:hAnsi="Arial" w:cs="Arial"/>
          <w:color w:val="212121"/>
          <w:shd w:val="clear" w:color="auto" w:fill="FFFFFF"/>
          <w:lang w:val="en-US"/>
        </w:rPr>
        <w:t xml:space="preserve"> B, McGregor C, Schulman L. Osteoporosis in lung transplantation candidates with end-stage pulmonary disease. Am J Med 1996; 101:262-9</w:t>
      </w:r>
    </w:p>
    <w:p w14:paraId="292D7503" w14:textId="2F9BCDFD"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26.</w:t>
      </w:r>
      <w:r w:rsidR="008E0AFA">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Tschopp O, Boehler A, Speich R, Weder W, Seifert B, Russi EW, Schmid C. Osteoporosis before lung transplantation: association with low body mass index, but not with underlying disease. Am J Transplant 2002; 2:162-72</w:t>
      </w:r>
    </w:p>
    <w:p w14:paraId="4FEEAC5C" w14:textId="6A5F8CA7"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27.</w:t>
      </w:r>
      <w:r w:rsidR="008E0AFA">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Kovvuru</w:t>
      </w:r>
      <w:proofErr w:type="spellEnd"/>
      <w:r w:rsidRPr="005F2054">
        <w:rPr>
          <w:rFonts w:ascii="Arial" w:hAnsi="Arial" w:cs="Arial"/>
          <w:color w:val="212121"/>
          <w:shd w:val="clear" w:color="auto" w:fill="FFFFFF"/>
          <w:lang w:val="en-US"/>
        </w:rPr>
        <w:t xml:space="preserve"> K, </w:t>
      </w:r>
      <w:proofErr w:type="spellStart"/>
      <w:r w:rsidRPr="005F2054">
        <w:rPr>
          <w:rFonts w:ascii="Arial" w:hAnsi="Arial" w:cs="Arial"/>
          <w:color w:val="212121"/>
          <w:shd w:val="clear" w:color="auto" w:fill="FFFFFF"/>
          <w:lang w:val="en-US"/>
        </w:rPr>
        <w:t>Kanduri</w:t>
      </w:r>
      <w:proofErr w:type="spellEnd"/>
      <w:r w:rsidRPr="005F2054">
        <w:rPr>
          <w:rFonts w:ascii="Arial" w:hAnsi="Arial" w:cs="Arial"/>
          <w:color w:val="212121"/>
          <w:shd w:val="clear" w:color="auto" w:fill="FFFFFF"/>
          <w:lang w:val="en-US"/>
        </w:rPr>
        <w:t xml:space="preserve"> SR, </w:t>
      </w:r>
      <w:proofErr w:type="spellStart"/>
      <w:r w:rsidRPr="005F2054">
        <w:rPr>
          <w:rFonts w:ascii="Arial" w:hAnsi="Arial" w:cs="Arial"/>
          <w:color w:val="212121"/>
          <w:shd w:val="clear" w:color="auto" w:fill="FFFFFF"/>
          <w:lang w:val="en-US"/>
        </w:rPr>
        <w:t>Vaitla</w:t>
      </w:r>
      <w:proofErr w:type="spellEnd"/>
      <w:r w:rsidRPr="005F2054">
        <w:rPr>
          <w:rFonts w:ascii="Arial" w:hAnsi="Arial" w:cs="Arial"/>
          <w:color w:val="212121"/>
          <w:shd w:val="clear" w:color="auto" w:fill="FFFFFF"/>
          <w:lang w:val="en-US"/>
        </w:rPr>
        <w:t xml:space="preserve"> P, Marathi R, </w:t>
      </w:r>
      <w:proofErr w:type="spellStart"/>
      <w:r w:rsidRPr="005F2054">
        <w:rPr>
          <w:rFonts w:ascii="Arial" w:hAnsi="Arial" w:cs="Arial"/>
          <w:color w:val="212121"/>
          <w:shd w:val="clear" w:color="auto" w:fill="FFFFFF"/>
          <w:lang w:val="en-US"/>
        </w:rPr>
        <w:t>Gosi</w:t>
      </w:r>
      <w:proofErr w:type="spellEnd"/>
      <w:r w:rsidRPr="005F2054">
        <w:rPr>
          <w:rFonts w:ascii="Arial" w:hAnsi="Arial" w:cs="Arial"/>
          <w:color w:val="212121"/>
          <w:shd w:val="clear" w:color="auto" w:fill="FFFFFF"/>
          <w:lang w:val="en-US"/>
        </w:rPr>
        <w:t xml:space="preserve"> S, Garcia Anton DF, Cabeza Rivera FH, Garla V. Risk Factors and Management of osteoporosis post-transplant. Medicina 2020; </w:t>
      </w:r>
      <w:r w:rsidR="00712B80" w:rsidRPr="005F2054">
        <w:rPr>
          <w:rFonts w:ascii="Arial" w:hAnsi="Arial" w:cs="Arial"/>
          <w:color w:val="212121"/>
          <w:shd w:val="clear" w:color="auto" w:fill="FFFFFF"/>
          <w:lang w:val="en-US"/>
        </w:rPr>
        <w:t>56(6):302</w:t>
      </w:r>
    </w:p>
    <w:p w14:paraId="12572F13" w14:textId="1F978450"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28.</w:t>
      </w:r>
      <w:r w:rsidR="008E0AFA">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Paccou</w:t>
      </w:r>
      <w:proofErr w:type="spellEnd"/>
      <w:r w:rsidRPr="005F2054">
        <w:rPr>
          <w:rFonts w:ascii="Arial" w:hAnsi="Arial" w:cs="Arial"/>
          <w:color w:val="212121"/>
          <w:shd w:val="clear" w:color="auto" w:fill="FFFFFF"/>
          <w:lang w:val="en-US"/>
        </w:rPr>
        <w:t xml:space="preserve"> J, </w:t>
      </w:r>
      <w:proofErr w:type="spellStart"/>
      <w:r w:rsidRPr="005F2054">
        <w:rPr>
          <w:rFonts w:ascii="Arial" w:hAnsi="Arial" w:cs="Arial"/>
          <w:color w:val="212121"/>
          <w:shd w:val="clear" w:color="auto" w:fill="FFFFFF"/>
          <w:lang w:val="en-US"/>
        </w:rPr>
        <w:t>Zeboulon</w:t>
      </w:r>
      <w:proofErr w:type="spellEnd"/>
      <w:r w:rsidRPr="005F2054">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Combescure</w:t>
      </w:r>
      <w:proofErr w:type="spellEnd"/>
      <w:r w:rsidRPr="005F2054">
        <w:rPr>
          <w:rFonts w:ascii="Arial" w:hAnsi="Arial" w:cs="Arial"/>
          <w:color w:val="212121"/>
          <w:shd w:val="clear" w:color="auto" w:fill="FFFFFF"/>
          <w:lang w:val="en-US"/>
        </w:rPr>
        <w:t xml:space="preserve"> C, </w:t>
      </w:r>
      <w:proofErr w:type="spellStart"/>
      <w:r w:rsidRPr="005F2054">
        <w:rPr>
          <w:rFonts w:ascii="Arial" w:hAnsi="Arial" w:cs="Arial"/>
          <w:color w:val="212121"/>
          <w:shd w:val="clear" w:color="auto" w:fill="FFFFFF"/>
          <w:lang w:val="en-US"/>
        </w:rPr>
        <w:t>Gossee</w:t>
      </w:r>
      <w:proofErr w:type="spellEnd"/>
      <w:r w:rsidRPr="005F2054">
        <w:rPr>
          <w:rFonts w:ascii="Arial" w:hAnsi="Arial" w:cs="Arial"/>
          <w:color w:val="212121"/>
          <w:shd w:val="clear" w:color="auto" w:fill="FFFFFF"/>
          <w:lang w:val="en-US"/>
        </w:rPr>
        <w:t xml:space="preserve"> L, </w:t>
      </w:r>
      <w:proofErr w:type="spellStart"/>
      <w:r w:rsidRPr="005F2054">
        <w:rPr>
          <w:rFonts w:ascii="Arial" w:hAnsi="Arial" w:cs="Arial"/>
          <w:color w:val="212121"/>
          <w:shd w:val="clear" w:color="auto" w:fill="FFFFFF"/>
          <w:lang w:val="en-US"/>
        </w:rPr>
        <w:t>Cortet</w:t>
      </w:r>
      <w:proofErr w:type="spellEnd"/>
      <w:r w:rsidRPr="005F2054">
        <w:rPr>
          <w:rFonts w:ascii="Arial" w:hAnsi="Arial" w:cs="Arial"/>
          <w:color w:val="212121"/>
          <w:shd w:val="clear" w:color="auto" w:fill="FFFFFF"/>
          <w:lang w:val="en-US"/>
        </w:rPr>
        <w:t xml:space="preserve"> T. The prevalence of osteoporosis, osteopenia and fractures among adults with Cystic Fibrosis: A systematic literature review with meta-analysis. </w:t>
      </w:r>
      <w:proofErr w:type="spellStart"/>
      <w:r w:rsidRPr="005F2054">
        <w:rPr>
          <w:rFonts w:ascii="Arial" w:hAnsi="Arial" w:cs="Arial"/>
          <w:color w:val="212121"/>
          <w:shd w:val="clear" w:color="auto" w:fill="FFFFFF"/>
          <w:lang w:val="en-US"/>
        </w:rPr>
        <w:t>Calcif</w:t>
      </w:r>
      <w:proofErr w:type="spellEnd"/>
      <w:r w:rsidRPr="005F2054">
        <w:rPr>
          <w:rFonts w:ascii="Arial" w:hAnsi="Arial" w:cs="Arial"/>
          <w:color w:val="212121"/>
          <w:shd w:val="clear" w:color="auto" w:fill="FFFFFF"/>
          <w:lang w:val="en-US"/>
        </w:rPr>
        <w:t xml:space="preserve"> Tissue 2010; 86:1-7</w:t>
      </w:r>
    </w:p>
    <w:p w14:paraId="35B5A3BA" w14:textId="4BA07BDB"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29.</w:t>
      </w:r>
      <w:r w:rsidR="008E0AFA">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Chen H, Lai RR, Yang Y, Gau SY, Huan CY, Tsai TH, Huan KH, Lee CY. High risk of osteoporosis following solid organ transplantation: a population-based study. Front Endocrinol 2023: 14: 1167574</w:t>
      </w:r>
      <w:r w:rsidR="00712B80" w:rsidRPr="005F2054">
        <w:rPr>
          <w:rFonts w:ascii="Arial" w:hAnsi="Arial" w:cs="Arial"/>
          <w:color w:val="212121"/>
          <w:shd w:val="clear" w:color="auto" w:fill="FFFFFF"/>
          <w:lang w:val="en-US"/>
        </w:rPr>
        <w:t xml:space="preserve"> </w:t>
      </w:r>
    </w:p>
    <w:p w14:paraId="1456D66A" w14:textId="489A9CDD"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30.</w:t>
      </w:r>
      <w:r w:rsidR="008E0AFA">
        <w:rPr>
          <w:rFonts w:ascii="Arial" w:hAnsi="Arial" w:cs="Arial"/>
          <w:color w:val="212121"/>
          <w:shd w:val="clear" w:color="auto" w:fill="FFFFFF"/>
          <w:lang w:val="en-US"/>
        </w:rPr>
        <w:t xml:space="preserve">    </w:t>
      </w:r>
      <w:proofErr w:type="spellStart"/>
      <w:r w:rsidRPr="005F2054">
        <w:rPr>
          <w:rFonts w:ascii="Arial" w:hAnsi="Arial" w:cs="Arial"/>
          <w:color w:val="212121"/>
          <w:shd w:val="clear" w:color="auto" w:fill="FFFFFF"/>
          <w:lang w:val="en-US"/>
        </w:rPr>
        <w:t>Anastasilakis</w:t>
      </w:r>
      <w:proofErr w:type="spellEnd"/>
      <w:r w:rsidRPr="005F2054">
        <w:rPr>
          <w:rFonts w:ascii="Arial" w:hAnsi="Arial" w:cs="Arial"/>
          <w:color w:val="212121"/>
          <w:shd w:val="clear" w:color="auto" w:fill="FFFFFF"/>
          <w:lang w:val="en-US"/>
        </w:rPr>
        <w:t xml:space="preserve"> AD, </w:t>
      </w:r>
      <w:proofErr w:type="spellStart"/>
      <w:r w:rsidRPr="005F2054">
        <w:rPr>
          <w:rFonts w:ascii="Arial" w:hAnsi="Arial" w:cs="Arial"/>
          <w:color w:val="212121"/>
          <w:shd w:val="clear" w:color="auto" w:fill="FFFFFF"/>
          <w:lang w:val="en-US"/>
        </w:rPr>
        <w:t>Tsourdi</w:t>
      </w:r>
      <w:proofErr w:type="spellEnd"/>
      <w:r w:rsidRPr="005F2054">
        <w:rPr>
          <w:rFonts w:ascii="Arial" w:hAnsi="Arial" w:cs="Arial"/>
          <w:color w:val="212121"/>
          <w:shd w:val="clear" w:color="auto" w:fill="FFFFFF"/>
          <w:lang w:val="en-US"/>
        </w:rPr>
        <w:t xml:space="preserve"> E, </w:t>
      </w:r>
      <w:proofErr w:type="spellStart"/>
      <w:r w:rsidRPr="005F2054">
        <w:rPr>
          <w:rFonts w:ascii="Arial" w:hAnsi="Arial" w:cs="Arial"/>
          <w:color w:val="212121"/>
          <w:shd w:val="clear" w:color="auto" w:fill="FFFFFF"/>
          <w:lang w:val="en-US"/>
        </w:rPr>
        <w:t>Makras</w:t>
      </w:r>
      <w:proofErr w:type="spellEnd"/>
      <w:r w:rsidRPr="005F2054">
        <w:rPr>
          <w:rFonts w:ascii="Arial" w:hAnsi="Arial" w:cs="Arial"/>
          <w:color w:val="212121"/>
          <w:shd w:val="clear" w:color="auto" w:fill="FFFFFF"/>
          <w:lang w:val="en-US"/>
        </w:rPr>
        <w:t xml:space="preserve"> P, Polyzos SA, Meter C, McCloskey EV, Pepe J, </w:t>
      </w:r>
      <w:proofErr w:type="spellStart"/>
      <w:r w:rsidRPr="005F2054">
        <w:rPr>
          <w:rFonts w:ascii="Arial" w:hAnsi="Arial" w:cs="Arial"/>
          <w:color w:val="212121"/>
          <w:shd w:val="clear" w:color="auto" w:fill="FFFFFF"/>
          <w:lang w:val="en-US"/>
        </w:rPr>
        <w:t>Zillikens</w:t>
      </w:r>
      <w:proofErr w:type="spellEnd"/>
      <w:r w:rsidRPr="005F2054">
        <w:rPr>
          <w:rFonts w:ascii="Arial" w:hAnsi="Arial" w:cs="Arial"/>
          <w:color w:val="212121"/>
          <w:shd w:val="clear" w:color="auto" w:fill="FFFFFF"/>
          <w:lang w:val="en-US"/>
        </w:rPr>
        <w:t xml:space="preserve"> MC. Bone disease following solid organ transplantation: A narrative review and recommendations for management from the European Calcified Society. Bone 2019; 17:401-418</w:t>
      </w:r>
    </w:p>
    <w:p w14:paraId="626C4AB1" w14:textId="0B0581C9" w:rsidR="0064791B" w:rsidRPr="005F2054" w:rsidRDefault="0064791B" w:rsidP="005F2054">
      <w:pPr>
        <w:spacing w:after="0"/>
        <w:ind w:left="576" w:hanging="576"/>
        <w:rPr>
          <w:rFonts w:ascii="Arial" w:hAnsi="Arial" w:cs="Arial"/>
          <w:color w:val="212121"/>
          <w:shd w:val="clear" w:color="auto" w:fill="FFFFFF"/>
        </w:rPr>
      </w:pPr>
      <w:r w:rsidRPr="005F2054">
        <w:rPr>
          <w:rFonts w:ascii="Arial" w:hAnsi="Arial" w:cs="Arial"/>
          <w:color w:val="212121"/>
          <w:shd w:val="clear" w:color="auto" w:fill="FFFFFF"/>
          <w:lang w:val="en-US"/>
        </w:rPr>
        <w:lastRenderedPageBreak/>
        <w:t>31.</w:t>
      </w:r>
      <w:r w:rsidR="008E0AFA">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Perez Saez MJ, Herrera D, </w:t>
      </w:r>
      <w:r w:rsidR="002C258B" w:rsidRPr="005F2054">
        <w:rPr>
          <w:rFonts w:ascii="Arial" w:hAnsi="Arial" w:cs="Arial"/>
          <w:color w:val="212121"/>
          <w:shd w:val="clear" w:color="auto" w:fill="FFFFFF"/>
          <w:lang w:val="en-US"/>
        </w:rPr>
        <w:t>Prieto</w:t>
      </w:r>
      <w:r w:rsidRPr="005F2054">
        <w:rPr>
          <w:rFonts w:ascii="Arial" w:hAnsi="Arial" w:cs="Arial"/>
          <w:color w:val="212121"/>
          <w:shd w:val="clear" w:color="auto" w:fill="FFFFFF"/>
          <w:lang w:val="en-US"/>
        </w:rPr>
        <w:t xml:space="preserve"> Alhambra D, Nogues X, Vera M, Redondo Pachon D, Mir M, Guerri R, Crespo M, Diez Perea A, Pascual J: Bone density, microarchitecture and tissue quality long-term </w:t>
      </w:r>
      <w:r w:rsidR="002C258B" w:rsidRPr="005F2054">
        <w:rPr>
          <w:rFonts w:ascii="Arial" w:hAnsi="Arial" w:cs="Arial"/>
          <w:color w:val="212121"/>
          <w:shd w:val="clear" w:color="auto" w:fill="FFFFFF"/>
          <w:lang w:val="en-US"/>
        </w:rPr>
        <w:t>after</w:t>
      </w:r>
      <w:r w:rsidRPr="005F2054">
        <w:rPr>
          <w:rFonts w:ascii="Arial" w:hAnsi="Arial" w:cs="Arial"/>
          <w:color w:val="212121"/>
          <w:shd w:val="clear" w:color="auto" w:fill="FFFFFF"/>
          <w:lang w:val="en-US"/>
        </w:rPr>
        <w:t xml:space="preserve"> kidney transplant. </w:t>
      </w:r>
      <w:proofErr w:type="spellStart"/>
      <w:r w:rsidRPr="005F2054">
        <w:rPr>
          <w:rFonts w:ascii="Arial" w:hAnsi="Arial" w:cs="Arial"/>
          <w:color w:val="212121"/>
          <w:shd w:val="clear" w:color="auto" w:fill="FFFFFF"/>
        </w:rPr>
        <w:t>Transplantation</w:t>
      </w:r>
      <w:proofErr w:type="spellEnd"/>
      <w:r w:rsidRPr="005F2054">
        <w:rPr>
          <w:rFonts w:ascii="Arial" w:hAnsi="Arial" w:cs="Arial"/>
          <w:color w:val="212121"/>
          <w:shd w:val="clear" w:color="auto" w:fill="FFFFFF"/>
        </w:rPr>
        <w:t xml:space="preserve"> 2012; 101:1290-4</w:t>
      </w:r>
    </w:p>
    <w:p w14:paraId="6F7A4C41" w14:textId="70ABAE50" w:rsidR="0064791B" w:rsidRPr="005F2054" w:rsidRDefault="0064791B" w:rsidP="005F2054">
      <w:pPr>
        <w:spacing w:after="0"/>
        <w:ind w:left="576" w:hanging="576"/>
        <w:rPr>
          <w:rFonts w:ascii="Arial" w:eastAsia="Times New Roman" w:hAnsi="Arial" w:cs="Arial"/>
          <w:color w:val="000000" w:themeColor="text1"/>
          <w:lang w:val="en-US" w:eastAsia="es-ES"/>
        </w:rPr>
      </w:pPr>
      <w:r w:rsidRPr="005F2054">
        <w:rPr>
          <w:rFonts w:ascii="Arial" w:hAnsi="Arial" w:cs="Arial"/>
          <w:color w:val="000000" w:themeColor="text1"/>
          <w:shd w:val="clear" w:color="auto" w:fill="FFFFFF"/>
        </w:rPr>
        <w:t>32.</w:t>
      </w:r>
      <w:r w:rsidR="008E0AFA">
        <w:rPr>
          <w:rFonts w:ascii="Arial" w:hAnsi="Arial" w:cs="Arial"/>
          <w:color w:val="000000" w:themeColor="text1"/>
          <w:shd w:val="clear" w:color="auto" w:fill="FFFFFF"/>
        </w:rPr>
        <w:t xml:space="preserve">   </w:t>
      </w:r>
      <w:r w:rsidRPr="005F2054">
        <w:rPr>
          <w:rFonts w:ascii="Arial" w:eastAsia="Times New Roman" w:hAnsi="Arial" w:cs="Arial"/>
          <w:color w:val="000000" w:themeColor="text1"/>
          <w:lang w:eastAsia="es-ES"/>
        </w:rPr>
        <w:t xml:space="preserve"> Monteagudo LJ, Diaz-Guerra GM, Badillo AÁ, Álvarez Martínez CJ, Pablo Gafas A, Gámez García AP, López </w:t>
      </w:r>
      <w:proofErr w:type="spellStart"/>
      <w:r w:rsidRPr="005F2054">
        <w:rPr>
          <w:rFonts w:ascii="Arial" w:eastAsia="Times New Roman" w:hAnsi="Arial" w:cs="Arial"/>
          <w:color w:val="000000" w:themeColor="text1"/>
          <w:lang w:eastAsia="es-ES"/>
        </w:rPr>
        <w:t>López</w:t>
      </w:r>
      <w:proofErr w:type="spellEnd"/>
      <w:r w:rsidRPr="005F2054">
        <w:rPr>
          <w:rFonts w:ascii="Arial" w:eastAsia="Times New Roman" w:hAnsi="Arial" w:cs="Arial"/>
          <w:color w:val="000000" w:themeColor="text1"/>
          <w:lang w:eastAsia="es-ES"/>
        </w:rPr>
        <w:t xml:space="preserve"> E, Arriscado CM, Hawkins Carranza F</w:t>
      </w:r>
      <w:r w:rsidR="002C258B" w:rsidRPr="005F2054">
        <w:rPr>
          <w:rFonts w:ascii="Arial" w:eastAsia="Times New Roman" w:hAnsi="Arial" w:cs="Arial"/>
          <w:color w:val="000000" w:themeColor="text1"/>
          <w:lang w:eastAsia="es-ES"/>
        </w:rPr>
        <w:t xml:space="preserve">. </w:t>
      </w:r>
      <w:r w:rsidRPr="005F2054">
        <w:rPr>
          <w:rFonts w:ascii="Arial" w:eastAsia="Times New Roman" w:hAnsi="Arial" w:cs="Arial"/>
          <w:color w:val="000000" w:themeColor="text1"/>
          <w:lang w:eastAsia="es-ES"/>
        </w:rPr>
        <w:t xml:space="preserve"> </w:t>
      </w:r>
      <w:hyperlink r:id="rId15" w:history="1">
        <w:r w:rsidRPr="005F2054">
          <w:rPr>
            <w:rFonts w:ascii="Arial" w:eastAsia="Times New Roman" w:hAnsi="Arial" w:cs="Arial"/>
            <w:color w:val="000000" w:themeColor="text1"/>
            <w:shd w:val="clear" w:color="auto" w:fill="FFFFFF"/>
            <w:lang w:val="en-US" w:eastAsia="es-ES"/>
          </w:rPr>
          <w:t>Health-Related Quality of Life Long-Term Study in Lung Transplant Patients: A Single-Center Experience.</w:t>
        </w:r>
      </w:hyperlink>
      <w:r w:rsidRPr="005F2054">
        <w:rPr>
          <w:rFonts w:ascii="Arial" w:eastAsia="Times New Roman" w:hAnsi="Arial" w:cs="Arial"/>
          <w:color w:val="000000" w:themeColor="text1"/>
          <w:lang w:val="en-US" w:eastAsia="es-ES"/>
        </w:rPr>
        <w:t xml:space="preserve"> J Surg Res. 2024;</w:t>
      </w:r>
      <w:r w:rsidR="00E261BA" w:rsidRPr="005F2054">
        <w:rPr>
          <w:rFonts w:ascii="Arial" w:eastAsia="Times New Roman" w:hAnsi="Arial" w:cs="Arial"/>
          <w:color w:val="000000" w:themeColor="text1"/>
          <w:lang w:val="en-US" w:eastAsia="es-ES"/>
        </w:rPr>
        <w:t xml:space="preserve"> </w:t>
      </w:r>
      <w:r w:rsidRPr="005F2054">
        <w:rPr>
          <w:rFonts w:ascii="Arial" w:eastAsia="Times New Roman" w:hAnsi="Arial" w:cs="Arial"/>
          <w:color w:val="000000" w:themeColor="text1"/>
          <w:lang w:val="en-US" w:eastAsia="es-ES"/>
        </w:rPr>
        <w:t>299:313-321.</w:t>
      </w:r>
    </w:p>
    <w:p w14:paraId="41CC3F4B" w14:textId="3517A89F" w:rsidR="0064791B" w:rsidRPr="005F2054" w:rsidRDefault="0064791B" w:rsidP="005F2054">
      <w:pPr>
        <w:spacing w:after="0"/>
        <w:ind w:left="576" w:hanging="576"/>
        <w:rPr>
          <w:rFonts w:ascii="Arial" w:eastAsia="Times New Roman" w:hAnsi="Arial" w:cs="Arial"/>
          <w:color w:val="0D0D0D" w:themeColor="text1" w:themeTint="F2"/>
          <w:lang w:val="en-US" w:eastAsia="es-ES"/>
        </w:rPr>
      </w:pPr>
      <w:r w:rsidRPr="005F2054">
        <w:rPr>
          <w:rFonts w:ascii="Arial" w:eastAsia="Times New Roman" w:hAnsi="Arial" w:cs="Arial"/>
          <w:color w:val="0D0D0D" w:themeColor="text1" w:themeTint="F2"/>
          <w:lang w:val="en-US" w:eastAsia="es-ES"/>
        </w:rPr>
        <w:t>33.</w:t>
      </w:r>
      <w:r w:rsidR="008E0AFA">
        <w:rPr>
          <w:rFonts w:ascii="Arial" w:eastAsia="Times New Roman" w:hAnsi="Arial" w:cs="Arial"/>
          <w:color w:val="0D0D0D" w:themeColor="text1" w:themeTint="F2"/>
          <w:lang w:val="en-US" w:eastAsia="es-ES"/>
        </w:rPr>
        <w:t xml:space="preserve">   </w:t>
      </w:r>
      <w:r w:rsidRPr="005F2054">
        <w:rPr>
          <w:rFonts w:ascii="Arial" w:eastAsia="Times New Roman" w:hAnsi="Arial" w:cs="Arial"/>
          <w:color w:val="0D0D0D" w:themeColor="text1" w:themeTint="F2"/>
          <w:lang w:val="en-US" w:eastAsia="es-ES"/>
        </w:rPr>
        <w:t xml:space="preserve"> Librizzi MS, </w:t>
      </w:r>
      <w:proofErr w:type="spellStart"/>
      <w:r w:rsidRPr="005F2054">
        <w:rPr>
          <w:rFonts w:ascii="Arial" w:eastAsia="Times New Roman" w:hAnsi="Arial" w:cs="Arial"/>
          <w:color w:val="0D0D0D" w:themeColor="text1" w:themeTint="F2"/>
          <w:lang w:val="en-US" w:eastAsia="es-ES"/>
        </w:rPr>
        <w:t>Guadalix</w:t>
      </w:r>
      <w:proofErr w:type="spellEnd"/>
      <w:r w:rsidRPr="005F2054">
        <w:rPr>
          <w:rFonts w:ascii="Arial" w:eastAsia="Times New Roman" w:hAnsi="Arial" w:cs="Arial"/>
          <w:color w:val="0D0D0D" w:themeColor="text1" w:themeTint="F2"/>
          <w:lang w:val="en-US" w:eastAsia="es-ES"/>
        </w:rPr>
        <w:t xml:space="preserve"> S, Martínez-Díaz Guerra G, </w:t>
      </w:r>
      <w:proofErr w:type="spellStart"/>
      <w:r w:rsidRPr="005F2054">
        <w:rPr>
          <w:rFonts w:ascii="Arial" w:eastAsia="Times New Roman" w:hAnsi="Arial" w:cs="Arial"/>
          <w:color w:val="0D0D0D" w:themeColor="text1" w:themeTint="F2"/>
          <w:lang w:val="en-US" w:eastAsia="es-ES"/>
        </w:rPr>
        <w:t>Allo</w:t>
      </w:r>
      <w:proofErr w:type="spellEnd"/>
      <w:r w:rsidRPr="005F2054">
        <w:rPr>
          <w:rFonts w:ascii="Arial" w:eastAsia="Times New Roman" w:hAnsi="Arial" w:cs="Arial"/>
          <w:color w:val="0D0D0D" w:themeColor="text1" w:themeTint="F2"/>
          <w:lang w:val="en-US" w:eastAsia="es-ES"/>
        </w:rPr>
        <w:t xml:space="preserve"> G, Lora D, Jimenez C, Hawkins F </w:t>
      </w:r>
      <w:hyperlink r:id="rId16" w:history="1">
        <w:r w:rsidRPr="005F2054">
          <w:rPr>
            <w:rFonts w:ascii="Arial" w:eastAsia="Times New Roman" w:hAnsi="Arial" w:cs="Arial"/>
            <w:color w:val="0D0D0D" w:themeColor="text1" w:themeTint="F2"/>
            <w:shd w:val="clear" w:color="auto" w:fill="FFFFFF"/>
            <w:lang w:val="en-US" w:eastAsia="es-ES"/>
          </w:rPr>
          <w:t>Trabecular bone score in patients with liver transplants after 1 year of risedronate treatment.</w:t>
        </w:r>
      </w:hyperlink>
      <w:r w:rsidR="006A1A5E" w:rsidRPr="005F2054">
        <w:rPr>
          <w:rFonts w:ascii="Arial" w:eastAsia="Times New Roman" w:hAnsi="Arial" w:cs="Arial"/>
          <w:color w:val="0D0D0D" w:themeColor="text1" w:themeTint="F2"/>
          <w:lang w:val="en-US" w:eastAsia="es-ES"/>
        </w:rPr>
        <w:t xml:space="preserve"> </w:t>
      </w:r>
      <w:proofErr w:type="spellStart"/>
      <w:r w:rsidRPr="005F2054">
        <w:rPr>
          <w:rFonts w:ascii="Arial" w:eastAsia="Times New Roman" w:hAnsi="Arial" w:cs="Arial"/>
          <w:color w:val="0D0D0D" w:themeColor="text1" w:themeTint="F2"/>
          <w:lang w:val="en-US" w:eastAsia="es-ES"/>
        </w:rPr>
        <w:t>Transpl</w:t>
      </w:r>
      <w:proofErr w:type="spellEnd"/>
      <w:r w:rsidRPr="005F2054">
        <w:rPr>
          <w:rFonts w:ascii="Arial" w:eastAsia="Times New Roman" w:hAnsi="Arial" w:cs="Arial"/>
          <w:color w:val="0D0D0D" w:themeColor="text1" w:themeTint="F2"/>
          <w:lang w:val="en-US" w:eastAsia="es-ES"/>
        </w:rPr>
        <w:t xml:space="preserve"> Int. 2016 ;29(3):331-7. </w:t>
      </w:r>
    </w:p>
    <w:p w14:paraId="53A4E674" w14:textId="53CB0648" w:rsidR="0064791B" w:rsidRPr="005F2054" w:rsidRDefault="0064791B" w:rsidP="005F2054">
      <w:pPr>
        <w:shd w:val="clear" w:color="auto" w:fill="FFFFFF"/>
        <w:spacing w:after="0"/>
        <w:ind w:left="576" w:hanging="576"/>
        <w:rPr>
          <w:rFonts w:ascii="Arial" w:eastAsia="Times New Roman" w:hAnsi="Arial" w:cs="Arial"/>
          <w:color w:val="0D0D0D" w:themeColor="text1" w:themeTint="F2"/>
          <w:lang w:val="en-US" w:eastAsia="es-ES"/>
        </w:rPr>
      </w:pPr>
      <w:r w:rsidRPr="005F2054">
        <w:rPr>
          <w:rFonts w:ascii="Arial" w:eastAsia="Times New Roman" w:hAnsi="Arial" w:cs="Arial"/>
          <w:color w:val="0D0D0D" w:themeColor="text1" w:themeTint="F2"/>
          <w:lang w:val="en-US" w:eastAsia="es-ES"/>
        </w:rPr>
        <w:t>34.</w:t>
      </w:r>
      <w:r w:rsidR="00B21D70">
        <w:rPr>
          <w:rFonts w:ascii="Arial" w:eastAsia="Times New Roman" w:hAnsi="Arial" w:cs="Arial"/>
          <w:color w:val="0D0D0D" w:themeColor="text1" w:themeTint="F2"/>
          <w:lang w:val="en-US" w:eastAsia="es-ES"/>
        </w:rPr>
        <w:t xml:space="preserve">    </w:t>
      </w:r>
      <w:r w:rsidRPr="005F2054">
        <w:rPr>
          <w:rFonts w:ascii="Arial" w:eastAsia="Times New Roman" w:hAnsi="Arial" w:cs="Arial"/>
          <w:color w:val="0D0D0D" w:themeColor="text1" w:themeTint="F2"/>
          <w:lang w:val="en-US" w:eastAsia="es-ES"/>
        </w:rPr>
        <w:t xml:space="preserve">Strommen RC, </w:t>
      </w:r>
      <w:proofErr w:type="spellStart"/>
      <w:r w:rsidRPr="005F2054">
        <w:rPr>
          <w:rFonts w:ascii="Arial" w:eastAsia="Times New Roman" w:hAnsi="Arial" w:cs="Arial"/>
          <w:color w:val="0D0D0D" w:themeColor="text1" w:themeTint="F2"/>
          <w:lang w:val="en-US" w:eastAsia="es-ES"/>
        </w:rPr>
        <w:t>Godang</w:t>
      </w:r>
      <w:proofErr w:type="spellEnd"/>
      <w:r w:rsidRPr="005F2054">
        <w:rPr>
          <w:rFonts w:ascii="Arial" w:eastAsia="Times New Roman" w:hAnsi="Arial" w:cs="Arial"/>
          <w:color w:val="0D0D0D" w:themeColor="text1" w:themeTint="F2"/>
          <w:lang w:val="en-US" w:eastAsia="es-ES"/>
        </w:rPr>
        <w:t xml:space="preserve"> K, </w:t>
      </w:r>
      <w:proofErr w:type="spellStart"/>
      <w:r w:rsidRPr="005F2054">
        <w:rPr>
          <w:rFonts w:ascii="Arial" w:eastAsia="Times New Roman" w:hAnsi="Arial" w:cs="Arial"/>
          <w:color w:val="0D0D0D" w:themeColor="text1" w:themeTint="F2"/>
          <w:lang w:val="en-US" w:eastAsia="es-ES"/>
        </w:rPr>
        <w:t>Finnes</w:t>
      </w:r>
      <w:proofErr w:type="spellEnd"/>
      <w:r w:rsidRPr="005F2054">
        <w:rPr>
          <w:rFonts w:ascii="Arial" w:eastAsia="Times New Roman" w:hAnsi="Arial" w:cs="Arial"/>
          <w:color w:val="0D0D0D" w:themeColor="text1" w:themeTint="F2"/>
          <w:lang w:val="en-US" w:eastAsia="es-ES"/>
        </w:rPr>
        <w:t xml:space="preserve"> TE, Smerud KT, </w:t>
      </w:r>
      <w:proofErr w:type="spellStart"/>
      <w:r w:rsidRPr="005F2054">
        <w:rPr>
          <w:rFonts w:ascii="Arial" w:eastAsia="Times New Roman" w:hAnsi="Arial" w:cs="Arial"/>
          <w:color w:val="0D0D0D" w:themeColor="text1" w:themeTint="F2"/>
          <w:lang w:val="en-US" w:eastAsia="es-ES"/>
        </w:rPr>
        <w:t>Reisaeter</w:t>
      </w:r>
      <w:proofErr w:type="spellEnd"/>
      <w:r w:rsidRPr="005F2054">
        <w:rPr>
          <w:rFonts w:ascii="Arial" w:eastAsia="Times New Roman" w:hAnsi="Arial" w:cs="Arial"/>
          <w:color w:val="0D0D0D" w:themeColor="text1" w:themeTint="F2"/>
          <w:lang w:val="en-US" w:eastAsia="es-ES"/>
        </w:rPr>
        <w:t xml:space="preserve"> AV, Hartmann A, </w:t>
      </w:r>
      <w:proofErr w:type="spellStart"/>
      <w:r w:rsidRPr="005F2054">
        <w:rPr>
          <w:rFonts w:ascii="Arial" w:eastAsia="Times New Roman" w:hAnsi="Arial" w:cs="Arial"/>
          <w:color w:val="0D0D0D" w:themeColor="text1" w:themeTint="F2"/>
          <w:lang w:val="en-US" w:eastAsia="es-ES"/>
        </w:rPr>
        <w:t>Asberg</w:t>
      </w:r>
      <w:proofErr w:type="spellEnd"/>
      <w:r w:rsidRPr="005F2054">
        <w:rPr>
          <w:rFonts w:ascii="Arial" w:eastAsia="Times New Roman" w:hAnsi="Arial" w:cs="Arial"/>
          <w:color w:val="0D0D0D" w:themeColor="text1" w:themeTint="F2"/>
          <w:lang w:val="en-US" w:eastAsia="es-ES"/>
        </w:rPr>
        <w:t xml:space="preserve"> </w:t>
      </w:r>
      <w:proofErr w:type="spellStart"/>
      <w:r w:rsidRPr="005F2054">
        <w:rPr>
          <w:rFonts w:ascii="Arial" w:eastAsia="Times New Roman" w:hAnsi="Arial" w:cs="Arial"/>
          <w:color w:val="0D0D0D" w:themeColor="text1" w:themeTint="F2"/>
          <w:lang w:val="en-US" w:eastAsia="es-ES"/>
        </w:rPr>
        <w:t>A,Bollerslev</w:t>
      </w:r>
      <w:proofErr w:type="spellEnd"/>
      <w:r w:rsidRPr="005F2054">
        <w:rPr>
          <w:rFonts w:ascii="Arial" w:eastAsia="Times New Roman" w:hAnsi="Arial" w:cs="Arial"/>
          <w:color w:val="0D0D0D" w:themeColor="text1" w:themeTint="F2"/>
          <w:lang w:val="en-US" w:eastAsia="es-ES"/>
        </w:rPr>
        <w:t xml:space="preserve"> J, </w:t>
      </w:r>
      <w:proofErr w:type="spellStart"/>
      <w:r w:rsidRPr="005F2054">
        <w:rPr>
          <w:rFonts w:ascii="Arial" w:eastAsia="Times New Roman" w:hAnsi="Arial" w:cs="Arial"/>
          <w:color w:val="0D0D0D" w:themeColor="text1" w:themeTint="F2"/>
          <w:lang w:val="en-US" w:eastAsia="es-ES"/>
        </w:rPr>
        <w:t>Pihistrom</w:t>
      </w:r>
      <w:proofErr w:type="spellEnd"/>
      <w:r w:rsidRPr="005F2054">
        <w:rPr>
          <w:rFonts w:ascii="Arial" w:eastAsia="Times New Roman" w:hAnsi="Arial" w:cs="Arial"/>
          <w:color w:val="0D0D0D" w:themeColor="text1" w:themeTint="F2"/>
          <w:lang w:val="en-US" w:eastAsia="es-ES"/>
        </w:rPr>
        <w:t xml:space="preserve"> HK. Trabecular bone score improves early after successful kidney transplantation irrespective of antiresorptive therapy and changes in bone mineral density. Transplantation Direct 2024;</w:t>
      </w:r>
      <w:r w:rsidR="00F66015" w:rsidRPr="005F2054">
        <w:rPr>
          <w:rFonts w:ascii="Arial" w:eastAsia="Times New Roman" w:hAnsi="Arial" w:cs="Arial"/>
          <w:color w:val="0D0D0D" w:themeColor="text1" w:themeTint="F2"/>
          <w:lang w:val="en-US" w:eastAsia="es-ES"/>
        </w:rPr>
        <w:t>10: e</w:t>
      </w:r>
      <w:r w:rsidRPr="005F2054">
        <w:rPr>
          <w:rFonts w:ascii="Arial" w:eastAsia="Times New Roman" w:hAnsi="Arial" w:cs="Arial"/>
          <w:color w:val="0D0D0D" w:themeColor="text1" w:themeTint="F2"/>
          <w:lang w:val="en-US" w:eastAsia="es-ES"/>
        </w:rPr>
        <w:t>1566</w:t>
      </w:r>
    </w:p>
    <w:p w14:paraId="7829D18B" w14:textId="30D1CE8A" w:rsidR="0064791B" w:rsidRPr="005F2054" w:rsidRDefault="0064791B" w:rsidP="005F2054">
      <w:pPr>
        <w:shd w:val="clear" w:color="auto" w:fill="FFFFFF"/>
        <w:spacing w:after="0"/>
        <w:ind w:left="576" w:hanging="576"/>
        <w:rPr>
          <w:rFonts w:ascii="Arial" w:eastAsia="Times New Roman" w:hAnsi="Arial" w:cs="Arial"/>
          <w:color w:val="0D0D0D" w:themeColor="text1" w:themeTint="F2"/>
          <w:lang w:val="en-US" w:eastAsia="es-ES"/>
        </w:rPr>
      </w:pPr>
      <w:r w:rsidRPr="005F2054">
        <w:rPr>
          <w:rFonts w:ascii="Arial" w:eastAsia="Times New Roman" w:hAnsi="Arial" w:cs="Arial"/>
          <w:color w:val="0D0D0D" w:themeColor="text1" w:themeTint="F2"/>
          <w:lang w:val="en-US" w:eastAsia="es-ES"/>
        </w:rPr>
        <w:t>35.</w:t>
      </w:r>
      <w:r w:rsidR="00B21D70">
        <w:rPr>
          <w:rFonts w:ascii="Arial" w:eastAsia="Times New Roman" w:hAnsi="Arial" w:cs="Arial"/>
          <w:color w:val="0D0D0D" w:themeColor="text1" w:themeTint="F2"/>
          <w:lang w:val="en-US" w:eastAsia="es-ES"/>
        </w:rPr>
        <w:t xml:space="preserve">    </w:t>
      </w:r>
      <w:r w:rsidRPr="005F2054">
        <w:rPr>
          <w:rFonts w:ascii="Arial" w:eastAsia="Times New Roman" w:hAnsi="Arial" w:cs="Arial"/>
          <w:color w:val="0D0D0D" w:themeColor="text1" w:themeTint="F2"/>
          <w:lang w:val="en-US" w:eastAsia="es-ES"/>
        </w:rPr>
        <w:t>Weisinger JR, Carlini RG, Rojas E, Bellorin-Font E. Bone disease after renal transplantation. Clin J Am Soc Nephrol 2006; 1:1300-13</w:t>
      </w:r>
    </w:p>
    <w:p w14:paraId="7758C6CA" w14:textId="30678FA1" w:rsidR="0064791B" w:rsidRPr="005F2054" w:rsidRDefault="0064791B" w:rsidP="005F2054">
      <w:pPr>
        <w:spacing w:after="0"/>
        <w:ind w:left="576" w:hanging="576"/>
        <w:rPr>
          <w:rFonts w:ascii="Arial" w:eastAsia="Times New Roman" w:hAnsi="Arial" w:cs="Arial"/>
          <w:color w:val="0D0D0D" w:themeColor="text1" w:themeTint="F2"/>
          <w:lang w:val="en-US" w:eastAsia="es-ES"/>
        </w:rPr>
      </w:pPr>
      <w:r w:rsidRPr="005F2054">
        <w:rPr>
          <w:rFonts w:ascii="Arial" w:eastAsia="Times New Roman" w:hAnsi="Arial" w:cs="Arial"/>
          <w:color w:val="0D0D0D" w:themeColor="text1" w:themeTint="F2"/>
          <w:lang w:val="en-US" w:eastAsia="es-ES"/>
        </w:rPr>
        <w:t>36.</w:t>
      </w:r>
      <w:r w:rsidR="00B21D70">
        <w:rPr>
          <w:rFonts w:ascii="Arial" w:eastAsia="Times New Roman" w:hAnsi="Arial" w:cs="Arial"/>
          <w:color w:val="0D0D0D" w:themeColor="text1" w:themeTint="F2"/>
          <w:lang w:val="en-US" w:eastAsia="es-ES"/>
        </w:rPr>
        <w:t xml:space="preserve">    </w:t>
      </w:r>
      <w:r w:rsidRPr="005F2054">
        <w:rPr>
          <w:rFonts w:ascii="Arial" w:eastAsia="Times New Roman" w:hAnsi="Arial" w:cs="Arial"/>
          <w:color w:val="0D0D0D" w:themeColor="text1" w:themeTint="F2"/>
          <w:lang w:val="en-US" w:eastAsia="es-ES"/>
        </w:rPr>
        <w:t xml:space="preserve">Tej KW, </w:t>
      </w:r>
      <w:proofErr w:type="spellStart"/>
      <w:r w:rsidRPr="005F2054">
        <w:rPr>
          <w:rFonts w:ascii="Arial" w:eastAsia="Times New Roman" w:hAnsi="Arial" w:cs="Arial"/>
          <w:color w:val="0D0D0D" w:themeColor="text1" w:themeTint="F2"/>
          <w:lang w:val="en-US" w:eastAsia="es-ES"/>
        </w:rPr>
        <w:t>Geailt</w:t>
      </w:r>
      <w:proofErr w:type="spellEnd"/>
      <w:r w:rsidRPr="005F2054">
        <w:rPr>
          <w:rFonts w:ascii="Arial" w:eastAsia="Times New Roman" w:hAnsi="Arial" w:cs="Arial"/>
          <w:color w:val="0D0D0D" w:themeColor="text1" w:themeTint="F2"/>
          <w:lang w:val="en-US" w:eastAsia="es-ES"/>
        </w:rPr>
        <w:t xml:space="preserve"> CM, Lappin DWP. Post-transplant bone disease in kidney transplant recipients: diagnosis and management. Int J Mol Sci </w:t>
      </w:r>
      <w:r w:rsidR="00F37AD4" w:rsidRPr="005F2054">
        <w:rPr>
          <w:rFonts w:ascii="Arial" w:eastAsia="Times New Roman" w:hAnsi="Arial" w:cs="Arial"/>
          <w:color w:val="0D0D0D" w:themeColor="text1" w:themeTint="F2"/>
          <w:lang w:val="en-US" w:eastAsia="es-ES"/>
        </w:rPr>
        <w:t xml:space="preserve">2024; </w:t>
      </w:r>
      <w:r w:rsidR="00F66015" w:rsidRPr="005F2054">
        <w:rPr>
          <w:rFonts w:ascii="Arial" w:eastAsia="Times New Roman" w:hAnsi="Arial" w:cs="Arial"/>
          <w:color w:val="0D0D0D" w:themeColor="text1" w:themeTint="F2"/>
          <w:lang w:val="en-US" w:eastAsia="es-ES"/>
        </w:rPr>
        <w:t>25(3):1859</w:t>
      </w:r>
    </w:p>
    <w:p w14:paraId="23CF38FB" w14:textId="37C1C2DD"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37.</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Ebeling PR. Primer on </w:t>
      </w:r>
      <w:r w:rsidR="00F37AD4" w:rsidRPr="005F2054">
        <w:rPr>
          <w:rFonts w:ascii="Arial" w:hAnsi="Arial" w:cs="Arial"/>
          <w:color w:val="212121"/>
          <w:shd w:val="clear" w:color="auto" w:fill="FFFFFF"/>
          <w:lang w:val="en-US"/>
        </w:rPr>
        <w:t>Metabolic</w:t>
      </w:r>
      <w:r w:rsidRPr="005F2054">
        <w:rPr>
          <w:rFonts w:ascii="Arial" w:hAnsi="Arial" w:cs="Arial"/>
          <w:color w:val="212121"/>
          <w:shd w:val="clear" w:color="auto" w:fill="FFFFFF"/>
          <w:lang w:val="en-US"/>
        </w:rPr>
        <w:t xml:space="preserve"> Bone Diseases and Disorders of Mineral Metabolism. Ninth Edition. Edited by   JP Bilezikian,2019, chapter 54 Transplantation Osteoporosis, p- 425-434</w:t>
      </w:r>
    </w:p>
    <w:p w14:paraId="5FC9C9ED" w14:textId="2CF6392F"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38.</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Hawkins FG, Leon M, Lopez MB, Valero MA, </w:t>
      </w:r>
      <w:proofErr w:type="spellStart"/>
      <w:r w:rsidRPr="005F2054">
        <w:rPr>
          <w:rFonts w:ascii="Arial" w:hAnsi="Arial" w:cs="Arial"/>
          <w:color w:val="212121"/>
          <w:shd w:val="clear" w:color="auto" w:fill="FFFFFF"/>
          <w:lang w:val="en-US"/>
        </w:rPr>
        <w:t>Larrodera</w:t>
      </w:r>
      <w:proofErr w:type="spellEnd"/>
      <w:r w:rsidRPr="005F2054">
        <w:rPr>
          <w:rFonts w:ascii="Arial" w:hAnsi="Arial" w:cs="Arial"/>
          <w:color w:val="212121"/>
          <w:shd w:val="clear" w:color="auto" w:fill="FFFFFF"/>
          <w:lang w:val="en-US"/>
        </w:rPr>
        <w:t xml:space="preserve"> L, Garcia I, </w:t>
      </w:r>
      <w:proofErr w:type="spellStart"/>
      <w:r w:rsidRPr="005F2054">
        <w:rPr>
          <w:rFonts w:ascii="Arial" w:hAnsi="Arial" w:cs="Arial"/>
          <w:color w:val="212121"/>
          <w:shd w:val="clear" w:color="auto" w:fill="FFFFFF"/>
          <w:lang w:val="en-US"/>
        </w:rPr>
        <w:t>Loinaz</w:t>
      </w:r>
      <w:proofErr w:type="spellEnd"/>
      <w:r w:rsidRPr="005F2054">
        <w:rPr>
          <w:rFonts w:ascii="Arial" w:hAnsi="Arial" w:cs="Arial"/>
          <w:color w:val="212121"/>
          <w:shd w:val="clear" w:color="auto" w:fill="FFFFFF"/>
          <w:lang w:val="en-US"/>
        </w:rPr>
        <w:t xml:space="preserve"> C, Moreno E. Bone loss and turnover in patients with liver transplantation. Hepato-Gastroenterol 1994; 41:158.161</w:t>
      </w:r>
    </w:p>
    <w:p w14:paraId="5B5473A5" w14:textId="1EC04460"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39.</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Li XY, Lew JCH, Kek PC. Bone mineral density following liver transplantation: a 10-year trend analysis. Archives of Osteoporosis 2021; 16:169</w:t>
      </w:r>
    </w:p>
    <w:p w14:paraId="51E56605" w14:textId="4E6A7F7D"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40.</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Krol CG, Dekkers OM, Kroon </w:t>
      </w:r>
      <w:r w:rsidR="006A1A5E" w:rsidRPr="005F2054">
        <w:rPr>
          <w:rFonts w:ascii="Arial" w:hAnsi="Arial" w:cs="Arial"/>
          <w:color w:val="212121"/>
          <w:shd w:val="clear" w:color="auto" w:fill="FFFFFF"/>
          <w:lang w:val="en-US"/>
        </w:rPr>
        <w:t>HM,</w:t>
      </w:r>
      <w:r w:rsidR="00D05142" w:rsidRPr="005F2054">
        <w:rPr>
          <w:rFonts w:ascii="Arial" w:hAnsi="Arial" w:cs="Arial"/>
          <w:color w:val="212121"/>
          <w:shd w:val="clear" w:color="auto" w:fill="FFFFFF"/>
          <w:lang w:val="en-US"/>
        </w:rPr>
        <w:t xml:space="preserve"> </w:t>
      </w:r>
      <w:proofErr w:type="spellStart"/>
      <w:r w:rsidR="00D05142" w:rsidRPr="005F2054">
        <w:rPr>
          <w:rFonts w:ascii="Arial" w:hAnsi="Arial" w:cs="Arial"/>
          <w:color w:val="212121"/>
          <w:shd w:val="clear" w:color="auto" w:fill="FFFFFF"/>
          <w:lang w:val="en-US"/>
        </w:rPr>
        <w:t>Rabelink</w:t>
      </w:r>
      <w:proofErr w:type="spellEnd"/>
      <w:r w:rsidR="00D05142" w:rsidRPr="005F2054">
        <w:rPr>
          <w:rFonts w:ascii="Arial" w:hAnsi="Arial" w:cs="Arial"/>
          <w:color w:val="212121"/>
          <w:shd w:val="clear" w:color="auto" w:fill="FFFFFF"/>
          <w:lang w:val="en-US"/>
        </w:rPr>
        <w:t xml:space="preserve"> T, van Hoek B, Hamdy NA. </w:t>
      </w:r>
      <w:r w:rsidRPr="005F2054">
        <w:rPr>
          <w:rFonts w:ascii="Arial" w:hAnsi="Arial" w:cs="Arial"/>
          <w:color w:val="212121"/>
          <w:shd w:val="clear" w:color="auto" w:fill="FFFFFF"/>
          <w:lang w:val="en-US"/>
        </w:rPr>
        <w:t xml:space="preserve"> Longitudinal changes in BMD and fracture risk in orthotopic liver transplant recipients not using bone-modifying treatment. J Bone Miner Res 2014; </w:t>
      </w:r>
      <w:r w:rsidR="00BB0A90" w:rsidRPr="005F2054">
        <w:rPr>
          <w:rFonts w:ascii="Arial" w:hAnsi="Arial" w:cs="Arial"/>
          <w:color w:val="212121"/>
          <w:shd w:val="clear" w:color="auto" w:fill="FFFFFF"/>
          <w:lang w:val="en-US"/>
        </w:rPr>
        <w:t>29(8):1763-9</w:t>
      </w:r>
    </w:p>
    <w:p w14:paraId="6887A8ED" w14:textId="47354717" w:rsidR="0064791B" w:rsidRPr="005F2054" w:rsidRDefault="0064791B" w:rsidP="005F2054">
      <w:pPr>
        <w:spacing w:after="0"/>
        <w:ind w:left="576" w:hanging="576"/>
        <w:rPr>
          <w:rFonts w:ascii="Arial" w:hAnsi="Arial" w:cs="Arial"/>
          <w:color w:val="212121"/>
          <w:shd w:val="clear" w:color="auto" w:fill="FFFFFF"/>
        </w:rPr>
      </w:pPr>
      <w:r w:rsidRPr="005F2054">
        <w:rPr>
          <w:rFonts w:ascii="Arial" w:hAnsi="Arial" w:cs="Arial"/>
          <w:color w:val="212121"/>
          <w:shd w:val="clear" w:color="auto" w:fill="FFFFFF"/>
          <w:lang w:val="en-US"/>
        </w:rPr>
        <w:t>41.</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Hamburg SM, Piers DA, van den Berg AP, </w:t>
      </w:r>
      <w:proofErr w:type="spellStart"/>
      <w:r w:rsidR="006A1A5E" w:rsidRPr="005F2054">
        <w:rPr>
          <w:rFonts w:ascii="Arial" w:hAnsi="Arial" w:cs="Arial"/>
          <w:color w:val="212121"/>
          <w:shd w:val="clear" w:color="auto" w:fill="FFFFFF"/>
          <w:lang w:val="en-US"/>
        </w:rPr>
        <w:t>Slooff</w:t>
      </w:r>
      <w:proofErr w:type="spellEnd"/>
      <w:r w:rsidR="006A1A5E" w:rsidRPr="005F2054">
        <w:rPr>
          <w:rFonts w:ascii="Arial" w:hAnsi="Arial" w:cs="Arial"/>
          <w:color w:val="212121"/>
          <w:shd w:val="clear" w:color="auto" w:fill="FFFFFF"/>
          <w:lang w:val="en-US"/>
        </w:rPr>
        <w:t xml:space="preserve"> MJH</w:t>
      </w:r>
      <w:r w:rsidRPr="005F2054">
        <w:rPr>
          <w:rFonts w:ascii="Arial" w:hAnsi="Arial" w:cs="Arial"/>
          <w:color w:val="212121"/>
          <w:shd w:val="clear" w:color="auto" w:fill="FFFFFF"/>
          <w:lang w:val="en-US"/>
        </w:rPr>
        <w:t xml:space="preserve">, Haagsma EB. Bone Mineral Density in the long term </w:t>
      </w:r>
      <w:r w:rsidR="007A4509" w:rsidRPr="005F2054">
        <w:rPr>
          <w:rFonts w:ascii="Arial" w:hAnsi="Arial" w:cs="Arial"/>
          <w:color w:val="212121"/>
          <w:shd w:val="clear" w:color="auto" w:fill="FFFFFF"/>
          <w:lang w:val="en-US"/>
        </w:rPr>
        <w:t>after</w:t>
      </w:r>
      <w:r w:rsidRPr="005F2054">
        <w:rPr>
          <w:rFonts w:ascii="Arial" w:hAnsi="Arial" w:cs="Arial"/>
          <w:color w:val="212121"/>
          <w:shd w:val="clear" w:color="auto" w:fill="FFFFFF"/>
          <w:lang w:val="en-US"/>
        </w:rPr>
        <w:t xml:space="preserve"> liver transplantation. </w:t>
      </w:r>
      <w:proofErr w:type="spellStart"/>
      <w:r w:rsidRPr="005F2054">
        <w:rPr>
          <w:rFonts w:ascii="Arial" w:hAnsi="Arial" w:cs="Arial"/>
          <w:color w:val="212121"/>
          <w:shd w:val="clear" w:color="auto" w:fill="FFFFFF"/>
        </w:rPr>
        <w:t>Osteoporos</w:t>
      </w:r>
      <w:proofErr w:type="spellEnd"/>
      <w:r w:rsidRPr="005F2054">
        <w:rPr>
          <w:rFonts w:ascii="Arial" w:hAnsi="Arial" w:cs="Arial"/>
          <w:color w:val="212121"/>
          <w:shd w:val="clear" w:color="auto" w:fill="FFFFFF"/>
        </w:rPr>
        <w:t xml:space="preserve"> </w:t>
      </w:r>
      <w:proofErr w:type="spellStart"/>
      <w:r w:rsidRPr="005F2054">
        <w:rPr>
          <w:rFonts w:ascii="Arial" w:hAnsi="Arial" w:cs="Arial"/>
          <w:color w:val="212121"/>
          <w:shd w:val="clear" w:color="auto" w:fill="FFFFFF"/>
        </w:rPr>
        <w:t>Int</w:t>
      </w:r>
      <w:proofErr w:type="spellEnd"/>
      <w:r w:rsidRPr="005F2054">
        <w:rPr>
          <w:rFonts w:ascii="Arial" w:hAnsi="Arial" w:cs="Arial"/>
          <w:color w:val="212121"/>
          <w:shd w:val="clear" w:color="auto" w:fill="FFFFFF"/>
        </w:rPr>
        <w:t xml:space="preserve"> 2000; 11:600-606</w:t>
      </w:r>
    </w:p>
    <w:p w14:paraId="37688781" w14:textId="15774418"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rPr>
        <w:t>42.</w:t>
      </w:r>
      <w:r w:rsidR="00B21D70">
        <w:rPr>
          <w:rFonts w:ascii="Arial" w:hAnsi="Arial" w:cs="Arial"/>
          <w:color w:val="212121"/>
          <w:shd w:val="clear" w:color="auto" w:fill="FFFFFF"/>
        </w:rPr>
        <w:t xml:space="preserve">    </w:t>
      </w:r>
      <w:proofErr w:type="spellStart"/>
      <w:r w:rsidRPr="005F2054">
        <w:rPr>
          <w:rFonts w:ascii="Arial" w:hAnsi="Arial" w:cs="Arial"/>
          <w:color w:val="212121"/>
          <w:shd w:val="clear" w:color="auto" w:fill="FFFFFF"/>
        </w:rPr>
        <w:t>Rodriguez</w:t>
      </w:r>
      <w:proofErr w:type="spellEnd"/>
      <w:r w:rsidRPr="005F2054">
        <w:rPr>
          <w:rFonts w:ascii="Arial" w:hAnsi="Arial" w:cs="Arial"/>
          <w:color w:val="212121"/>
          <w:shd w:val="clear" w:color="auto" w:fill="FFFFFF"/>
        </w:rPr>
        <w:t xml:space="preserve"> Aguilar EF, </w:t>
      </w:r>
      <w:proofErr w:type="spellStart"/>
      <w:r w:rsidRPr="005F2054">
        <w:rPr>
          <w:rFonts w:ascii="Arial" w:hAnsi="Arial" w:cs="Arial"/>
          <w:color w:val="212121"/>
          <w:shd w:val="clear" w:color="auto" w:fill="FFFFFF"/>
        </w:rPr>
        <w:t>Peez</w:t>
      </w:r>
      <w:proofErr w:type="spellEnd"/>
      <w:r w:rsidRPr="005F2054">
        <w:rPr>
          <w:rFonts w:ascii="Arial" w:hAnsi="Arial" w:cs="Arial"/>
          <w:color w:val="212121"/>
          <w:shd w:val="clear" w:color="auto" w:fill="FFFFFF"/>
        </w:rPr>
        <w:t xml:space="preserve"> Escobar J, </w:t>
      </w:r>
      <w:proofErr w:type="spellStart"/>
      <w:r w:rsidRPr="005F2054">
        <w:rPr>
          <w:rFonts w:ascii="Arial" w:hAnsi="Arial" w:cs="Arial"/>
          <w:color w:val="212121"/>
          <w:shd w:val="clear" w:color="auto" w:fill="FFFFFF"/>
        </w:rPr>
        <w:t>Sanchez</w:t>
      </w:r>
      <w:proofErr w:type="spellEnd"/>
      <w:r w:rsidRPr="005F2054">
        <w:rPr>
          <w:rFonts w:ascii="Arial" w:hAnsi="Arial" w:cs="Arial"/>
          <w:color w:val="212121"/>
          <w:shd w:val="clear" w:color="auto" w:fill="FFFFFF"/>
        </w:rPr>
        <w:t xml:space="preserve"> Herrera D, </w:t>
      </w:r>
      <w:proofErr w:type="spellStart"/>
      <w:r w:rsidRPr="005F2054">
        <w:rPr>
          <w:rFonts w:ascii="Arial" w:hAnsi="Arial" w:cs="Arial"/>
          <w:color w:val="212121"/>
          <w:shd w:val="clear" w:color="auto" w:fill="FFFFFF"/>
        </w:rPr>
        <w:t>Garcia</w:t>
      </w:r>
      <w:proofErr w:type="spellEnd"/>
      <w:r w:rsidRPr="005F2054">
        <w:rPr>
          <w:rFonts w:ascii="Arial" w:hAnsi="Arial" w:cs="Arial"/>
          <w:color w:val="212121"/>
          <w:shd w:val="clear" w:color="auto" w:fill="FFFFFF"/>
        </w:rPr>
        <w:t xml:space="preserve"> </w:t>
      </w:r>
      <w:proofErr w:type="spellStart"/>
      <w:r w:rsidRPr="005F2054">
        <w:rPr>
          <w:rFonts w:ascii="Arial" w:hAnsi="Arial" w:cs="Arial"/>
          <w:color w:val="212121"/>
          <w:shd w:val="clear" w:color="auto" w:fill="FFFFFF"/>
        </w:rPr>
        <w:t>Alanis</w:t>
      </w:r>
      <w:proofErr w:type="spellEnd"/>
      <w:r w:rsidRPr="005F2054">
        <w:rPr>
          <w:rFonts w:ascii="Arial" w:hAnsi="Arial" w:cs="Arial"/>
          <w:color w:val="212121"/>
          <w:shd w:val="clear" w:color="auto" w:fill="FFFFFF"/>
        </w:rPr>
        <w:t xml:space="preserve"> M, </w:t>
      </w:r>
      <w:proofErr w:type="spellStart"/>
      <w:r w:rsidRPr="005F2054">
        <w:rPr>
          <w:rFonts w:ascii="Arial" w:hAnsi="Arial" w:cs="Arial"/>
          <w:color w:val="212121"/>
          <w:shd w:val="clear" w:color="auto" w:fill="FFFFFF"/>
        </w:rPr>
        <w:t>Tapania</w:t>
      </w:r>
      <w:proofErr w:type="spellEnd"/>
      <w:r w:rsidRPr="005F2054">
        <w:rPr>
          <w:rFonts w:ascii="Arial" w:hAnsi="Arial" w:cs="Arial"/>
          <w:color w:val="212121"/>
          <w:shd w:val="clear" w:color="auto" w:fill="FFFFFF"/>
        </w:rPr>
        <w:t xml:space="preserve"> Y, </w:t>
      </w:r>
      <w:proofErr w:type="spellStart"/>
      <w:r w:rsidRPr="005F2054">
        <w:rPr>
          <w:rFonts w:ascii="Arial" w:hAnsi="Arial" w:cs="Arial"/>
          <w:color w:val="212121"/>
          <w:shd w:val="clear" w:color="auto" w:fill="FFFFFF"/>
        </w:rPr>
        <w:t>Anchapaxi</w:t>
      </w:r>
      <w:proofErr w:type="spellEnd"/>
      <w:r w:rsidRPr="005F2054">
        <w:rPr>
          <w:rFonts w:ascii="Arial" w:hAnsi="Arial" w:cs="Arial"/>
          <w:color w:val="212121"/>
          <w:shd w:val="clear" w:color="auto" w:fill="FFFFFF"/>
        </w:rPr>
        <w:t xml:space="preserve"> I, </w:t>
      </w:r>
      <w:proofErr w:type="spellStart"/>
      <w:r w:rsidRPr="005F2054">
        <w:rPr>
          <w:rFonts w:ascii="Arial" w:hAnsi="Arial" w:cs="Arial"/>
          <w:color w:val="212121"/>
          <w:shd w:val="clear" w:color="auto" w:fill="FFFFFF"/>
        </w:rPr>
        <w:t>Gonzalez</w:t>
      </w:r>
      <w:proofErr w:type="spellEnd"/>
      <w:r w:rsidRPr="005F2054">
        <w:rPr>
          <w:rFonts w:ascii="Arial" w:hAnsi="Arial" w:cs="Arial"/>
          <w:color w:val="212121"/>
          <w:shd w:val="clear" w:color="auto" w:fill="FFFFFF"/>
        </w:rPr>
        <w:t xml:space="preserve"> Flores E</w:t>
      </w:r>
      <w:r w:rsidR="00002E89" w:rsidRPr="005F2054">
        <w:rPr>
          <w:rFonts w:ascii="Arial" w:hAnsi="Arial" w:cs="Arial"/>
          <w:color w:val="212121"/>
          <w:shd w:val="clear" w:color="auto" w:fill="FFFFFF"/>
        </w:rPr>
        <w:t xml:space="preserve">, </w:t>
      </w:r>
      <w:proofErr w:type="spellStart"/>
      <w:r w:rsidR="00002E89" w:rsidRPr="005F2054">
        <w:rPr>
          <w:rFonts w:ascii="Arial" w:hAnsi="Arial" w:cs="Arial"/>
          <w:color w:val="212121"/>
          <w:shd w:val="clear" w:color="auto" w:fill="FFFFFF"/>
        </w:rPr>
        <w:t>Garcia</w:t>
      </w:r>
      <w:proofErr w:type="spellEnd"/>
      <w:r w:rsidR="00002E89" w:rsidRPr="005F2054">
        <w:rPr>
          <w:rFonts w:ascii="Arial" w:hAnsi="Arial" w:cs="Arial"/>
          <w:color w:val="212121"/>
          <w:shd w:val="clear" w:color="auto" w:fill="FFFFFF"/>
        </w:rPr>
        <w:t xml:space="preserve"> </w:t>
      </w:r>
      <w:proofErr w:type="spellStart"/>
      <w:r w:rsidR="00002E89" w:rsidRPr="005F2054">
        <w:rPr>
          <w:rFonts w:ascii="Arial" w:hAnsi="Arial" w:cs="Arial"/>
          <w:color w:val="212121"/>
          <w:shd w:val="clear" w:color="auto" w:fill="FFFFFF"/>
        </w:rPr>
        <w:t>Juarez</w:t>
      </w:r>
      <w:proofErr w:type="spellEnd"/>
      <w:r w:rsidR="00002E89" w:rsidRPr="005F2054">
        <w:rPr>
          <w:rFonts w:ascii="Arial" w:hAnsi="Arial" w:cs="Arial"/>
          <w:color w:val="212121"/>
          <w:shd w:val="clear" w:color="auto" w:fill="FFFFFF"/>
        </w:rPr>
        <w:t xml:space="preserve"> </w:t>
      </w:r>
      <w:r w:rsidR="00C37F85" w:rsidRPr="005F2054">
        <w:rPr>
          <w:rFonts w:ascii="Arial" w:hAnsi="Arial" w:cs="Arial"/>
          <w:color w:val="212121"/>
          <w:shd w:val="clear" w:color="auto" w:fill="FFFFFF"/>
        </w:rPr>
        <w:t>I.</w:t>
      </w:r>
      <w:r w:rsidRPr="005F2054">
        <w:rPr>
          <w:rFonts w:ascii="Arial" w:hAnsi="Arial" w:cs="Arial"/>
          <w:color w:val="212121"/>
          <w:shd w:val="clear" w:color="auto" w:fill="FFFFFF"/>
        </w:rPr>
        <w:t xml:space="preserve"> </w:t>
      </w:r>
      <w:proofErr w:type="spellStart"/>
      <w:r w:rsidRPr="005F2054">
        <w:rPr>
          <w:rFonts w:ascii="Arial" w:hAnsi="Arial" w:cs="Arial"/>
          <w:color w:val="212121"/>
          <w:shd w:val="clear" w:color="auto" w:fill="FFFFFF"/>
        </w:rPr>
        <w:t>Bone</w:t>
      </w:r>
      <w:proofErr w:type="spellEnd"/>
      <w:r w:rsidRPr="005F2054">
        <w:rPr>
          <w:rFonts w:ascii="Arial" w:hAnsi="Arial" w:cs="Arial"/>
          <w:color w:val="212121"/>
          <w:shd w:val="clear" w:color="auto" w:fill="FFFFFF"/>
        </w:rPr>
        <w:t xml:space="preserve"> </w:t>
      </w:r>
      <w:proofErr w:type="spellStart"/>
      <w:r w:rsidRPr="005F2054">
        <w:rPr>
          <w:rFonts w:ascii="Arial" w:hAnsi="Arial" w:cs="Arial"/>
          <w:color w:val="212121"/>
          <w:shd w:val="clear" w:color="auto" w:fill="FFFFFF"/>
        </w:rPr>
        <w:t>disease</w:t>
      </w:r>
      <w:proofErr w:type="spellEnd"/>
      <w:r w:rsidRPr="005F2054">
        <w:rPr>
          <w:rFonts w:ascii="Arial" w:hAnsi="Arial" w:cs="Arial"/>
          <w:color w:val="212121"/>
          <w:shd w:val="clear" w:color="auto" w:fill="FFFFFF"/>
        </w:rPr>
        <w:t xml:space="preserve"> and </w:t>
      </w:r>
      <w:proofErr w:type="spellStart"/>
      <w:r w:rsidRPr="005F2054">
        <w:rPr>
          <w:rFonts w:ascii="Arial" w:hAnsi="Arial" w:cs="Arial"/>
          <w:color w:val="212121"/>
          <w:shd w:val="clear" w:color="auto" w:fill="FFFFFF"/>
        </w:rPr>
        <w:t>liver</w:t>
      </w:r>
      <w:proofErr w:type="spellEnd"/>
      <w:r w:rsidRPr="005F2054">
        <w:rPr>
          <w:rFonts w:ascii="Arial" w:hAnsi="Arial" w:cs="Arial"/>
          <w:color w:val="212121"/>
          <w:shd w:val="clear" w:color="auto" w:fill="FFFFFF"/>
        </w:rPr>
        <w:t xml:space="preserve"> </w:t>
      </w:r>
      <w:proofErr w:type="spellStart"/>
      <w:r w:rsidRPr="005F2054">
        <w:rPr>
          <w:rFonts w:ascii="Arial" w:hAnsi="Arial" w:cs="Arial"/>
          <w:color w:val="212121"/>
          <w:shd w:val="clear" w:color="auto" w:fill="FFFFFF"/>
        </w:rPr>
        <w:t>transplatantion</w:t>
      </w:r>
      <w:proofErr w:type="spellEnd"/>
      <w:r w:rsidRPr="005F2054">
        <w:rPr>
          <w:rFonts w:ascii="Arial" w:hAnsi="Arial" w:cs="Arial"/>
          <w:color w:val="212121"/>
          <w:shd w:val="clear" w:color="auto" w:fill="FFFFFF"/>
        </w:rPr>
        <w:t xml:space="preserve"> a </w:t>
      </w:r>
      <w:proofErr w:type="spellStart"/>
      <w:r w:rsidRPr="005F2054">
        <w:rPr>
          <w:rFonts w:ascii="Arial" w:hAnsi="Arial" w:cs="Arial"/>
          <w:color w:val="212121"/>
          <w:shd w:val="clear" w:color="auto" w:fill="FFFFFF"/>
        </w:rPr>
        <w:t>review</w:t>
      </w:r>
      <w:proofErr w:type="spellEnd"/>
      <w:r w:rsidRPr="005F2054">
        <w:rPr>
          <w:rFonts w:ascii="Arial" w:hAnsi="Arial" w:cs="Arial"/>
          <w:color w:val="212121"/>
          <w:shd w:val="clear" w:color="auto" w:fill="FFFFFF"/>
        </w:rPr>
        <w:t xml:space="preserve">. </w:t>
      </w:r>
      <w:r w:rsidRPr="005F2054">
        <w:rPr>
          <w:rFonts w:ascii="Arial" w:hAnsi="Arial" w:cs="Arial"/>
          <w:color w:val="212121"/>
          <w:shd w:val="clear" w:color="auto" w:fill="FFFFFF"/>
          <w:lang w:val="en-US"/>
        </w:rPr>
        <w:t>Transplant Proc 2021; 53:2346-53</w:t>
      </w:r>
    </w:p>
    <w:p w14:paraId="40233FEC" w14:textId="5C761845"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43.</w:t>
      </w:r>
      <w:r w:rsidR="00B21D70">
        <w:rPr>
          <w:rFonts w:ascii="Arial" w:hAnsi="Arial" w:cs="Arial"/>
          <w:color w:val="212121"/>
          <w:shd w:val="clear" w:color="auto" w:fill="FFFFFF"/>
          <w:lang w:val="en-US"/>
        </w:rPr>
        <w:t xml:space="preserve">   </w:t>
      </w:r>
      <w:r w:rsidR="00C37F85" w:rsidRPr="005F2054">
        <w:rPr>
          <w:rFonts w:ascii="Arial" w:hAnsi="Arial" w:cs="Arial"/>
          <w:color w:val="212121"/>
          <w:shd w:val="clear" w:color="auto" w:fill="FFFFFF"/>
          <w:lang w:val="en-US"/>
        </w:rPr>
        <w:t xml:space="preserve"> Shane E, Rivas MC, Silverberg SJ, Kim TS, Staron RB, </w:t>
      </w:r>
      <w:proofErr w:type="spellStart"/>
      <w:r w:rsidR="00C37F85" w:rsidRPr="005F2054">
        <w:rPr>
          <w:rFonts w:ascii="Arial" w:hAnsi="Arial" w:cs="Arial"/>
          <w:color w:val="212121"/>
          <w:shd w:val="clear" w:color="auto" w:fill="FFFFFF"/>
          <w:lang w:val="en-US"/>
        </w:rPr>
        <w:t>Bilezikian</w:t>
      </w:r>
      <w:proofErr w:type="spellEnd"/>
      <w:r w:rsidR="00C37F85" w:rsidRPr="005F2054">
        <w:rPr>
          <w:rFonts w:ascii="Arial" w:hAnsi="Arial" w:cs="Arial"/>
          <w:color w:val="212121"/>
          <w:shd w:val="clear" w:color="auto" w:fill="FFFFFF"/>
          <w:lang w:val="en-US"/>
        </w:rPr>
        <w:t xml:space="preserve"> </w:t>
      </w:r>
      <w:r w:rsidR="006A1A5E" w:rsidRPr="005F2054">
        <w:rPr>
          <w:rFonts w:ascii="Arial" w:hAnsi="Arial" w:cs="Arial"/>
          <w:color w:val="212121"/>
          <w:shd w:val="clear" w:color="auto" w:fill="FFFFFF"/>
          <w:lang w:val="en-US"/>
        </w:rPr>
        <w:t>JP. Osteoporosis</w:t>
      </w:r>
      <w:r w:rsidRPr="005F2054">
        <w:rPr>
          <w:rFonts w:ascii="Arial" w:hAnsi="Arial" w:cs="Arial"/>
          <w:color w:val="212121"/>
          <w:shd w:val="clear" w:color="auto" w:fill="FFFFFF"/>
          <w:lang w:val="en-US"/>
        </w:rPr>
        <w:t xml:space="preserve"> after cardiac transplantation. Am J Med 1993:94:257-264</w:t>
      </w:r>
    </w:p>
    <w:p w14:paraId="05371422" w14:textId="47FEC89C"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44.</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Dalle Carbonate </w:t>
      </w:r>
      <w:r w:rsidR="00C37F85" w:rsidRPr="005F2054">
        <w:rPr>
          <w:rFonts w:ascii="Arial" w:hAnsi="Arial" w:cs="Arial"/>
          <w:color w:val="212121"/>
          <w:shd w:val="clear" w:color="auto" w:fill="FFFFFF"/>
          <w:lang w:val="en-US"/>
        </w:rPr>
        <w:t>L</w:t>
      </w:r>
      <w:r w:rsidRPr="005F2054">
        <w:rPr>
          <w:rFonts w:ascii="Arial" w:hAnsi="Arial" w:cs="Arial"/>
          <w:color w:val="212121"/>
          <w:shd w:val="clear" w:color="auto" w:fill="FFFFFF"/>
          <w:lang w:val="en-US"/>
        </w:rPr>
        <w:t xml:space="preserve">, Zanatta M, Braga V, Sella S, </w:t>
      </w:r>
      <w:proofErr w:type="spellStart"/>
      <w:r w:rsidRPr="005F2054">
        <w:rPr>
          <w:rFonts w:ascii="Arial" w:hAnsi="Arial" w:cs="Arial"/>
          <w:color w:val="212121"/>
          <w:shd w:val="clear" w:color="auto" w:fill="FFFFFF"/>
          <w:lang w:val="en-US"/>
        </w:rPr>
        <w:t>Vilei</w:t>
      </w:r>
      <w:proofErr w:type="spellEnd"/>
      <w:r w:rsidRPr="005F2054">
        <w:rPr>
          <w:rFonts w:ascii="Arial" w:hAnsi="Arial" w:cs="Arial"/>
          <w:color w:val="212121"/>
          <w:shd w:val="clear" w:color="auto" w:fill="FFFFFF"/>
          <w:lang w:val="en-US"/>
        </w:rPr>
        <w:t xml:space="preserve"> MT, </w:t>
      </w:r>
      <w:proofErr w:type="spellStart"/>
      <w:r w:rsidRPr="005F2054">
        <w:rPr>
          <w:rFonts w:ascii="Arial" w:hAnsi="Arial" w:cs="Arial"/>
          <w:color w:val="212121"/>
          <w:shd w:val="clear" w:color="auto" w:fill="FFFFFF"/>
          <w:lang w:val="en-US"/>
        </w:rPr>
        <w:t>Feltrin</w:t>
      </w:r>
      <w:proofErr w:type="spellEnd"/>
      <w:r w:rsidRPr="005F2054">
        <w:rPr>
          <w:rFonts w:ascii="Arial" w:hAnsi="Arial" w:cs="Arial"/>
          <w:color w:val="212121"/>
          <w:shd w:val="clear" w:color="auto" w:fill="FFFFFF"/>
          <w:lang w:val="en-US"/>
        </w:rPr>
        <w:t xml:space="preserve"> G</w:t>
      </w:r>
      <w:r w:rsidR="00C37F85" w:rsidRPr="005F2054">
        <w:rPr>
          <w:rFonts w:ascii="Arial" w:hAnsi="Arial" w:cs="Arial"/>
          <w:color w:val="212121"/>
          <w:shd w:val="clear" w:color="auto" w:fill="FFFFFF"/>
          <w:lang w:val="en-US"/>
        </w:rPr>
        <w:t xml:space="preserve">, Gambino A, Pepe I, Rossini M, Adami S, Giannini S. </w:t>
      </w:r>
      <w:r w:rsidRPr="005F2054">
        <w:rPr>
          <w:rFonts w:ascii="Arial" w:hAnsi="Arial" w:cs="Arial"/>
          <w:color w:val="212121"/>
          <w:shd w:val="clear" w:color="auto" w:fill="FFFFFF"/>
          <w:lang w:val="en-US"/>
        </w:rPr>
        <w:t>Densitometric threshold and vertebral fractures in heart transplant patients. Transplantation 2011; 92:106-11</w:t>
      </w:r>
    </w:p>
    <w:p w14:paraId="2D0BFCF2" w14:textId="3A142704"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45.</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 Lofdahl E, </w:t>
      </w:r>
      <w:proofErr w:type="spellStart"/>
      <w:r w:rsidRPr="005F2054">
        <w:rPr>
          <w:rFonts w:ascii="Arial" w:hAnsi="Arial" w:cs="Arial"/>
          <w:color w:val="212121"/>
          <w:shd w:val="clear" w:color="auto" w:fill="FFFFFF"/>
          <w:lang w:val="en-US"/>
        </w:rPr>
        <w:t>Radegran</w:t>
      </w:r>
      <w:proofErr w:type="spellEnd"/>
      <w:r w:rsidRPr="005F2054">
        <w:rPr>
          <w:rFonts w:ascii="Arial" w:hAnsi="Arial" w:cs="Arial"/>
          <w:color w:val="212121"/>
          <w:shd w:val="clear" w:color="auto" w:fill="FFFFFF"/>
          <w:lang w:val="en-US"/>
        </w:rPr>
        <w:t xml:space="preserve"> G, </w:t>
      </w:r>
      <w:proofErr w:type="spellStart"/>
      <w:r w:rsidRPr="005F2054">
        <w:rPr>
          <w:rFonts w:ascii="Arial" w:hAnsi="Arial" w:cs="Arial"/>
          <w:color w:val="212121"/>
          <w:shd w:val="clear" w:color="auto" w:fill="FFFFFF"/>
          <w:lang w:val="en-US"/>
        </w:rPr>
        <w:t>Fagher</w:t>
      </w:r>
      <w:proofErr w:type="spellEnd"/>
      <w:r w:rsidRPr="005F2054">
        <w:rPr>
          <w:rFonts w:ascii="Arial" w:hAnsi="Arial" w:cs="Arial"/>
          <w:color w:val="212121"/>
          <w:shd w:val="clear" w:color="auto" w:fill="FFFFFF"/>
          <w:lang w:val="en-US"/>
        </w:rPr>
        <w:t xml:space="preserve"> K. Bone </w:t>
      </w:r>
      <w:r w:rsidR="00C37F85" w:rsidRPr="005F2054">
        <w:rPr>
          <w:rFonts w:ascii="Arial" w:hAnsi="Arial" w:cs="Arial"/>
          <w:color w:val="212121"/>
          <w:shd w:val="clear" w:color="auto" w:fill="FFFFFF"/>
          <w:lang w:val="en-US"/>
        </w:rPr>
        <w:t>health</w:t>
      </w:r>
      <w:r w:rsidRPr="005F2054">
        <w:rPr>
          <w:rFonts w:ascii="Arial" w:hAnsi="Arial" w:cs="Arial"/>
          <w:color w:val="212121"/>
          <w:shd w:val="clear" w:color="auto" w:fill="FFFFFF"/>
          <w:lang w:val="en-US"/>
        </w:rPr>
        <w:t xml:space="preserve"> and cardiac transplantation. Best Practice &amp; research clinical rheumatology 2022; </w:t>
      </w:r>
      <w:r w:rsidR="001B086D" w:rsidRPr="005F2054">
        <w:rPr>
          <w:rFonts w:ascii="Arial" w:hAnsi="Arial" w:cs="Arial"/>
          <w:color w:val="212121"/>
          <w:shd w:val="clear" w:color="auto" w:fill="FFFFFF"/>
          <w:lang w:val="en-US"/>
        </w:rPr>
        <w:t>36(3):101770</w:t>
      </w:r>
    </w:p>
    <w:p w14:paraId="3FF3AA47" w14:textId="7EE588F4"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46.</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Yu TM, Li</w:t>
      </w:r>
      <w:r w:rsidR="00864508" w:rsidRPr="005F2054">
        <w:rPr>
          <w:rFonts w:ascii="Arial" w:hAnsi="Arial" w:cs="Arial"/>
          <w:color w:val="212121"/>
          <w:shd w:val="clear" w:color="auto" w:fill="FFFFFF"/>
          <w:lang w:val="en-US"/>
        </w:rPr>
        <w:t xml:space="preserve"> Lin</w:t>
      </w:r>
      <w:r w:rsidRPr="005F2054">
        <w:rPr>
          <w:rFonts w:ascii="Arial" w:hAnsi="Arial" w:cs="Arial"/>
          <w:color w:val="212121"/>
          <w:shd w:val="clear" w:color="auto" w:fill="FFFFFF"/>
          <w:lang w:val="en-US"/>
        </w:rPr>
        <w:t xml:space="preserve"> C, Chang SN, </w:t>
      </w:r>
      <w:r w:rsidR="00864508" w:rsidRPr="005F2054">
        <w:rPr>
          <w:rFonts w:ascii="Arial" w:hAnsi="Arial" w:cs="Arial"/>
          <w:color w:val="212121"/>
          <w:shd w:val="clear" w:color="auto" w:fill="FFFFFF"/>
          <w:lang w:val="en-US"/>
        </w:rPr>
        <w:t xml:space="preserve">Chan Sung F, </w:t>
      </w:r>
      <w:r w:rsidRPr="005F2054">
        <w:rPr>
          <w:rFonts w:ascii="Arial" w:hAnsi="Arial" w:cs="Arial"/>
          <w:color w:val="212121"/>
          <w:shd w:val="clear" w:color="auto" w:fill="FFFFFF"/>
          <w:lang w:val="en-US"/>
        </w:rPr>
        <w:t xml:space="preserve">Huan ST, Kao CH. Osteoporosis and fractures after solid organ transplantation: a nationwide population-based cohort study. Mayo Clin </w:t>
      </w:r>
      <w:proofErr w:type="spellStart"/>
      <w:r w:rsidRPr="005F2054">
        <w:rPr>
          <w:rFonts w:ascii="Arial" w:hAnsi="Arial" w:cs="Arial"/>
          <w:color w:val="212121"/>
          <w:shd w:val="clear" w:color="auto" w:fill="FFFFFF"/>
          <w:lang w:val="en-US"/>
        </w:rPr>
        <w:t>Prac</w:t>
      </w:r>
      <w:proofErr w:type="spellEnd"/>
      <w:r w:rsidRPr="005F2054">
        <w:rPr>
          <w:rFonts w:ascii="Arial" w:hAnsi="Arial" w:cs="Arial"/>
          <w:color w:val="212121"/>
          <w:shd w:val="clear" w:color="auto" w:fill="FFFFFF"/>
          <w:lang w:val="en-US"/>
        </w:rPr>
        <w:t xml:space="preserve"> 2014; 89:888-95</w:t>
      </w:r>
    </w:p>
    <w:p w14:paraId="01D841E2" w14:textId="5EBA31DB"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t>47.</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 xml:space="preserve">Caffarelli C, </w:t>
      </w:r>
      <w:r w:rsidR="006A1A5E" w:rsidRPr="005F2054">
        <w:rPr>
          <w:rFonts w:ascii="Arial" w:hAnsi="Arial" w:cs="Arial"/>
          <w:color w:val="212121"/>
          <w:shd w:val="clear" w:color="auto" w:fill="FFFFFF"/>
          <w:lang w:val="en-US"/>
        </w:rPr>
        <w:t xml:space="preserve">Tomai </w:t>
      </w:r>
      <w:proofErr w:type="spellStart"/>
      <w:r w:rsidR="006A1A5E" w:rsidRPr="005F2054">
        <w:rPr>
          <w:rFonts w:ascii="Arial" w:hAnsi="Arial" w:cs="Arial"/>
          <w:color w:val="212121"/>
          <w:shd w:val="clear" w:color="auto" w:fill="FFFFFF"/>
          <w:lang w:val="en-US"/>
        </w:rPr>
        <w:t>Pitinca</w:t>
      </w:r>
      <w:proofErr w:type="spellEnd"/>
      <w:r w:rsidRPr="005F2054">
        <w:rPr>
          <w:rFonts w:ascii="Arial" w:hAnsi="Arial" w:cs="Arial"/>
          <w:color w:val="212121"/>
          <w:shd w:val="clear" w:color="auto" w:fill="FFFFFF"/>
          <w:lang w:val="en-US"/>
        </w:rPr>
        <w:t xml:space="preserve"> </w:t>
      </w:r>
      <w:r w:rsidR="006A1A5E" w:rsidRPr="005F2054">
        <w:rPr>
          <w:rFonts w:ascii="Arial" w:hAnsi="Arial" w:cs="Arial"/>
          <w:color w:val="212121"/>
          <w:shd w:val="clear" w:color="auto" w:fill="FFFFFF"/>
          <w:lang w:val="en-US"/>
        </w:rPr>
        <w:t>MD, Alessandri</w:t>
      </w:r>
      <w:r w:rsidRPr="005F2054">
        <w:rPr>
          <w:rFonts w:ascii="Arial" w:hAnsi="Arial" w:cs="Arial"/>
          <w:color w:val="212121"/>
          <w:shd w:val="clear" w:color="auto" w:fill="FFFFFF"/>
          <w:lang w:val="en-US"/>
        </w:rPr>
        <w:t xml:space="preserve"> M, </w:t>
      </w:r>
      <w:proofErr w:type="spellStart"/>
      <w:r w:rsidRPr="005F2054">
        <w:rPr>
          <w:rFonts w:ascii="Arial" w:hAnsi="Arial" w:cs="Arial"/>
          <w:color w:val="212121"/>
          <w:shd w:val="clear" w:color="auto" w:fill="FFFFFF"/>
          <w:lang w:val="en-US"/>
        </w:rPr>
        <w:t>Crameli</w:t>
      </w:r>
      <w:proofErr w:type="spellEnd"/>
      <w:r w:rsidRPr="005F2054">
        <w:rPr>
          <w:rFonts w:ascii="Arial" w:hAnsi="Arial" w:cs="Arial"/>
          <w:color w:val="212121"/>
          <w:shd w:val="clear" w:color="auto" w:fill="FFFFFF"/>
          <w:lang w:val="en-US"/>
        </w:rPr>
        <w:t xml:space="preserve"> P, </w:t>
      </w:r>
      <w:proofErr w:type="spellStart"/>
      <w:r w:rsidRPr="005F2054">
        <w:rPr>
          <w:rFonts w:ascii="Arial" w:hAnsi="Arial" w:cs="Arial"/>
          <w:color w:val="212121"/>
          <w:shd w:val="clear" w:color="auto" w:fill="FFFFFF"/>
          <w:lang w:val="en-US"/>
        </w:rPr>
        <w:t>Bargagli</w:t>
      </w:r>
      <w:proofErr w:type="spellEnd"/>
      <w:r w:rsidRPr="005F2054">
        <w:rPr>
          <w:rFonts w:ascii="Arial" w:hAnsi="Arial" w:cs="Arial"/>
          <w:color w:val="212121"/>
          <w:shd w:val="clear" w:color="auto" w:fill="FFFFFF"/>
          <w:lang w:val="en-US"/>
        </w:rPr>
        <w:t xml:space="preserve"> </w:t>
      </w:r>
      <w:r w:rsidR="001755E6" w:rsidRPr="005F2054">
        <w:rPr>
          <w:rFonts w:ascii="Arial" w:hAnsi="Arial" w:cs="Arial"/>
          <w:color w:val="212121"/>
          <w:shd w:val="clear" w:color="auto" w:fill="FFFFFF"/>
          <w:lang w:val="en-US"/>
        </w:rPr>
        <w:t xml:space="preserve">F, </w:t>
      </w:r>
      <w:r w:rsidRPr="005F2054">
        <w:rPr>
          <w:rFonts w:ascii="Arial" w:hAnsi="Arial" w:cs="Arial"/>
          <w:color w:val="212121"/>
          <w:shd w:val="clear" w:color="auto" w:fill="FFFFFF"/>
          <w:lang w:val="en-US"/>
        </w:rPr>
        <w:t xml:space="preserve">Bennet </w:t>
      </w:r>
      <w:r w:rsidR="001755E6" w:rsidRPr="005F2054">
        <w:rPr>
          <w:rFonts w:ascii="Arial" w:hAnsi="Arial" w:cs="Arial"/>
          <w:color w:val="212121"/>
          <w:shd w:val="clear" w:color="auto" w:fill="FFFFFF"/>
          <w:lang w:val="en-US"/>
        </w:rPr>
        <w:t xml:space="preserve">E, Fossi a, </w:t>
      </w:r>
      <w:proofErr w:type="spellStart"/>
      <w:r w:rsidR="001755E6" w:rsidRPr="005F2054">
        <w:rPr>
          <w:rFonts w:ascii="Arial" w:hAnsi="Arial" w:cs="Arial"/>
          <w:color w:val="212121"/>
          <w:shd w:val="clear" w:color="auto" w:fill="FFFFFF"/>
          <w:lang w:val="en-US"/>
        </w:rPr>
        <w:t>Bernazzali</w:t>
      </w:r>
      <w:proofErr w:type="spellEnd"/>
      <w:r w:rsidR="001755E6" w:rsidRPr="005F2054">
        <w:rPr>
          <w:rFonts w:ascii="Arial" w:hAnsi="Arial" w:cs="Arial"/>
          <w:color w:val="212121"/>
          <w:shd w:val="clear" w:color="auto" w:fill="FFFFFF"/>
          <w:lang w:val="en-US"/>
        </w:rPr>
        <w:t xml:space="preserve"> s, Gonnelli S. </w:t>
      </w:r>
      <w:r w:rsidRPr="005F2054">
        <w:rPr>
          <w:rFonts w:ascii="Arial" w:hAnsi="Arial" w:cs="Arial"/>
          <w:color w:val="212121"/>
          <w:shd w:val="clear" w:color="auto" w:fill="FFFFFF"/>
          <w:lang w:val="en-US"/>
        </w:rPr>
        <w:t xml:space="preserve">Timing of osteoporosis vertebral fractures in lung and </w:t>
      </w:r>
      <w:r w:rsidR="001755E6" w:rsidRPr="005F2054">
        <w:rPr>
          <w:rFonts w:ascii="Arial" w:hAnsi="Arial" w:cs="Arial"/>
          <w:color w:val="212121"/>
          <w:shd w:val="clear" w:color="auto" w:fill="FFFFFF"/>
          <w:lang w:val="en-US"/>
        </w:rPr>
        <w:t>heart</w:t>
      </w:r>
      <w:r w:rsidRPr="005F2054">
        <w:rPr>
          <w:rFonts w:ascii="Arial" w:hAnsi="Arial" w:cs="Arial"/>
          <w:color w:val="212121"/>
          <w:shd w:val="clear" w:color="auto" w:fill="FFFFFF"/>
          <w:lang w:val="en-US"/>
        </w:rPr>
        <w:t xml:space="preserve"> transplantation: a longitudinal study. J Clin Med 2020; </w:t>
      </w:r>
      <w:r w:rsidR="001B086D" w:rsidRPr="005F2054">
        <w:rPr>
          <w:rFonts w:ascii="Arial" w:hAnsi="Arial" w:cs="Arial"/>
          <w:color w:val="212121"/>
          <w:shd w:val="clear" w:color="auto" w:fill="FFFFFF"/>
          <w:lang w:val="en-US"/>
        </w:rPr>
        <w:t>9(9):2941.</w:t>
      </w:r>
    </w:p>
    <w:p w14:paraId="606437A4" w14:textId="5646324D"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12121"/>
          <w:shd w:val="clear" w:color="auto" w:fill="FFFFFF"/>
          <w:lang w:val="en-US"/>
        </w:rPr>
        <w:lastRenderedPageBreak/>
        <w:t>48.</w:t>
      </w:r>
      <w:r w:rsidR="00B21D70">
        <w:rPr>
          <w:rFonts w:ascii="Arial" w:hAnsi="Arial" w:cs="Arial"/>
          <w:color w:val="212121"/>
          <w:shd w:val="clear" w:color="auto" w:fill="FFFFFF"/>
          <w:lang w:val="en-US"/>
        </w:rPr>
        <w:t xml:space="preserve">    </w:t>
      </w:r>
      <w:r w:rsidRPr="005F2054">
        <w:rPr>
          <w:rFonts w:ascii="Arial" w:hAnsi="Arial" w:cs="Arial"/>
          <w:color w:val="212121"/>
          <w:shd w:val="clear" w:color="auto" w:fill="FFFFFF"/>
          <w:lang w:val="en-US"/>
        </w:rPr>
        <w:t>Buckley L, Humphrey MB. Glucocorticoid induced osteoporosis. Engl J Med 2018; 379:2547-56</w:t>
      </w:r>
    </w:p>
    <w:p w14:paraId="7FB785CA" w14:textId="5202AEE9" w:rsidR="0064791B" w:rsidRPr="005F2054" w:rsidRDefault="0064791B" w:rsidP="005F2054">
      <w:pPr>
        <w:spacing w:after="0"/>
        <w:ind w:left="576" w:hanging="576"/>
        <w:rPr>
          <w:rFonts w:ascii="Arial" w:eastAsia="Times New Roman" w:hAnsi="Arial" w:cs="Arial"/>
          <w:color w:val="000000" w:themeColor="text1"/>
          <w:lang w:val="en-US" w:eastAsia="es-ES"/>
        </w:rPr>
      </w:pPr>
      <w:r w:rsidRPr="005F2054">
        <w:rPr>
          <w:rFonts w:ascii="Arial" w:hAnsi="Arial" w:cs="Arial"/>
          <w:color w:val="212121"/>
          <w:shd w:val="clear" w:color="auto" w:fill="FFFFFF"/>
          <w:lang w:val="en-US"/>
        </w:rPr>
        <w:t>49</w:t>
      </w:r>
      <w:r w:rsidRPr="005F2054">
        <w:rPr>
          <w:rFonts w:ascii="Arial" w:hAnsi="Arial" w:cs="Arial"/>
          <w:color w:val="000000" w:themeColor="text1"/>
          <w:shd w:val="clear" w:color="auto" w:fill="FFFFFF"/>
          <w:lang w:val="en-US"/>
        </w:rPr>
        <w:t>.</w:t>
      </w:r>
      <w:r w:rsidR="00B21D70">
        <w:rPr>
          <w:rFonts w:ascii="Arial" w:hAnsi="Arial" w:cs="Arial"/>
          <w:color w:val="000000" w:themeColor="text1"/>
          <w:shd w:val="clear" w:color="auto" w:fill="FFFFFF"/>
          <w:lang w:val="en-US"/>
        </w:rPr>
        <w:t xml:space="preserve">   </w:t>
      </w:r>
      <w:r w:rsidRPr="005F2054">
        <w:rPr>
          <w:rFonts w:ascii="Arial" w:eastAsia="Times New Roman" w:hAnsi="Arial" w:cs="Arial"/>
          <w:color w:val="000000" w:themeColor="text1"/>
          <w:lang w:val="en-US" w:eastAsia="es-ES"/>
        </w:rPr>
        <w:t xml:space="preserve"> </w:t>
      </w:r>
      <w:proofErr w:type="spellStart"/>
      <w:r w:rsidRPr="005F2054">
        <w:rPr>
          <w:rFonts w:ascii="Arial" w:eastAsia="Times New Roman" w:hAnsi="Arial" w:cs="Arial"/>
          <w:color w:val="000000" w:themeColor="text1"/>
          <w:lang w:val="en-US" w:eastAsia="es-ES"/>
        </w:rPr>
        <w:t>Ohnaka</w:t>
      </w:r>
      <w:proofErr w:type="spellEnd"/>
      <w:r w:rsidRPr="005F2054">
        <w:rPr>
          <w:rFonts w:ascii="Arial" w:eastAsia="Times New Roman" w:hAnsi="Arial" w:cs="Arial"/>
          <w:color w:val="000000" w:themeColor="text1"/>
          <w:lang w:val="en-US" w:eastAsia="es-ES"/>
        </w:rPr>
        <w:t xml:space="preserve"> K, Tanabe M, Kawate H, </w:t>
      </w:r>
      <w:proofErr w:type="spellStart"/>
      <w:r w:rsidRPr="005F2054">
        <w:rPr>
          <w:rFonts w:ascii="Arial" w:eastAsia="Times New Roman" w:hAnsi="Arial" w:cs="Arial"/>
          <w:color w:val="000000" w:themeColor="text1"/>
          <w:lang w:val="en-US" w:eastAsia="es-ES"/>
        </w:rPr>
        <w:t>Nawata</w:t>
      </w:r>
      <w:proofErr w:type="spellEnd"/>
      <w:r w:rsidRPr="005F2054">
        <w:rPr>
          <w:rFonts w:ascii="Arial" w:eastAsia="Times New Roman" w:hAnsi="Arial" w:cs="Arial"/>
          <w:color w:val="000000" w:themeColor="text1"/>
          <w:lang w:val="en-US" w:eastAsia="es-ES"/>
        </w:rPr>
        <w:t xml:space="preserve"> H, Takayanagi R</w:t>
      </w:r>
      <w:r w:rsidR="006A1A5E" w:rsidRPr="005F2054">
        <w:rPr>
          <w:rFonts w:ascii="Arial" w:eastAsia="Times New Roman" w:hAnsi="Arial" w:cs="Arial"/>
          <w:color w:val="000000" w:themeColor="text1"/>
          <w:lang w:val="en-US" w:eastAsia="es-ES"/>
        </w:rPr>
        <w:t xml:space="preserve"> </w:t>
      </w:r>
      <w:hyperlink r:id="rId17" w:history="1">
        <w:r w:rsidRPr="005F2054">
          <w:rPr>
            <w:rFonts w:ascii="Arial" w:eastAsia="Times New Roman" w:hAnsi="Arial" w:cs="Arial"/>
            <w:color w:val="000000" w:themeColor="text1"/>
            <w:shd w:val="clear" w:color="auto" w:fill="FFFFFF"/>
            <w:lang w:val="en-US" w:eastAsia="es-ES"/>
          </w:rPr>
          <w:t>Glucocorticoid suppresses the canonical </w:t>
        </w:r>
        <w:proofErr w:type="spellStart"/>
        <w:r w:rsidRPr="005F2054">
          <w:rPr>
            <w:rFonts w:ascii="Arial" w:eastAsia="Times New Roman" w:hAnsi="Arial" w:cs="Arial"/>
            <w:color w:val="000000" w:themeColor="text1"/>
            <w:shd w:val="clear" w:color="auto" w:fill="FFFFFF"/>
            <w:lang w:val="en-US" w:eastAsia="es-ES"/>
          </w:rPr>
          <w:t>Wnt</w:t>
        </w:r>
        <w:proofErr w:type="spellEnd"/>
        <w:r w:rsidRPr="005F2054">
          <w:rPr>
            <w:rFonts w:ascii="Arial" w:eastAsia="Times New Roman" w:hAnsi="Arial" w:cs="Arial"/>
            <w:color w:val="000000" w:themeColor="text1"/>
            <w:shd w:val="clear" w:color="auto" w:fill="FFFFFF"/>
            <w:lang w:val="en-US" w:eastAsia="es-ES"/>
          </w:rPr>
          <w:t> signal in cultured human osteoblasts</w:t>
        </w:r>
      </w:hyperlink>
      <w:r w:rsidRPr="005F2054">
        <w:rPr>
          <w:rFonts w:ascii="Arial" w:eastAsia="Times New Roman" w:hAnsi="Arial" w:cs="Arial"/>
          <w:color w:val="000000" w:themeColor="text1"/>
          <w:lang w:val="en-US" w:eastAsia="es-ES"/>
        </w:rPr>
        <w:t>.</w:t>
      </w:r>
      <w:r w:rsidR="006A1A5E" w:rsidRPr="005F2054">
        <w:rPr>
          <w:rFonts w:ascii="Arial" w:eastAsia="Times New Roman" w:hAnsi="Arial" w:cs="Arial"/>
          <w:color w:val="000000" w:themeColor="text1"/>
          <w:lang w:val="en-US" w:eastAsia="es-ES"/>
        </w:rPr>
        <w:t xml:space="preserve"> </w:t>
      </w:r>
      <w:proofErr w:type="spellStart"/>
      <w:r w:rsidRPr="005F2054">
        <w:rPr>
          <w:rFonts w:ascii="Arial" w:eastAsia="Times New Roman" w:hAnsi="Arial" w:cs="Arial"/>
          <w:color w:val="000000" w:themeColor="text1"/>
          <w:lang w:val="en-US" w:eastAsia="es-ES"/>
        </w:rPr>
        <w:t>Biochem</w:t>
      </w:r>
      <w:proofErr w:type="spellEnd"/>
      <w:r w:rsidRPr="005F2054">
        <w:rPr>
          <w:rFonts w:ascii="Arial" w:eastAsia="Times New Roman" w:hAnsi="Arial" w:cs="Arial"/>
          <w:color w:val="000000" w:themeColor="text1"/>
          <w:lang w:val="en-US" w:eastAsia="es-ES"/>
        </w:rPr>
        <w:t xml:space="preserve"> </w:t>
      </w:r>
      <w:proofErr w:type="spellStart"/>
      <w:r w:rsidRPr="005F2054">
        <w:rPr>
          <w:rFonts w:ascii="Arial" w:eastAsia="Times New Roman" w:hAnsi="Arial" w:cs="Arial"/>
          <w:color w:val="000000" w:themeColor="text1"/>
          <w:lang w:val="en-US" w:eastAsia="es-ES"/>
        </w:rPr>
        <w:t>Biophys</w:t>
      </w:r>
      <w:proofErr w:type="spellEnd"/>
      <w:r w:rsidRPr="005F2054">
        <w:rPr>
          <w:rFonts w:ascii="Arial" w:eastAsia="Times New Roman" w:hAnsi="Arial" w:cs="Arial"/>
          <w:color w:val="000000" w:themeColor="text1"/>
          <w:lang w:val="en-US" w:eastAsia="es-ES"/>
        </w:rPr>
        <w:t xml:space="preserve"> Res Commun. 2005</w:t>
      </w:r>
      <w:r w:rsidR="006A1A5E" w:rsidRPr="005F2054">
        <w:rPr>
          <w:rFonts w:ascii="Arial" w:eastAsia="Times New Roman" w:hAnsi="Arial" w:cs="Arial"/>
          <w:color w:val="000000" w:themeColor="text1"/>
          <w:lang w:val="en-US" w:eastAsia="es-ES"/>
        </w:rPr>
        <w:t xml:space="preserve">; </w:t>
      </w:r>
      <w:r w:rsidRPr="005F2054">
        <w:rPr>
          <w:rFonts w:ascii="Arial" w:eastAsia="Times New Roman" w:hAnsi="Arial" w:cs="Arial"/>
          <w:color w:val="000000" w:themeColor="text1"/>
          <w:lang w:val="en-US" w:eastAsia="es-ES"/>
        </w:rPr>
        <w:t>329:177-81.</w:t>
      </w:r>
    </w:p>
    <w:p w14:paraId="3E9486DA" w14:textId="33DF5EDD" w:rsidR="0064791B" w:rsidRPr="005F2054" w:rsidRDefault="0064791B" w:rsidP="005F2054">
      <w:pPr>
        <w:spacing w:after="0"/>
        <w:ind w:left="576" w:hanging="576"/>
        <w:rPr>
          <w:rFonts w:ascii="Arial" w:hAnsi="Arial" w:cs="Arial"/>
          <w:color w:val="222222"/>
          <w:shd w:val="clear" w:color="auto" w:fill="FFFFFF"/>
          <w:lang w:val="en-US"/>
        </w:rPr>
      </w:pPr>
      <w:r w:rsidRPr="005F2054">
        <w:rPr>
          <w:rFonts w:ascii="Arial" w:hAnsi="Arial" w:cs="Arial"/>
          <w:color w:val="212121"/>
          <w:shd w:val="clear" w:color="auto" w:fill="FFFFFF"/>
          <w:lang w:val="en-US"/>
        </w:rPr>
        <w:t>50.</w:t>
      </w:r>
      <w:r w:rsidR="00B21D70">
        <w:rPr>
          <w:rFonts w:ascii="Arial" w:hAnsi="Arial" w:cs="Arial"/>
          <w:color w:val="212121"/>
          <w:shd w:val="clear" w:color="auto" w:fill="FFFFFF"/>
          <w:lang w:val="en-US"/>
        </w:rPr>
        <w:t xml:space="preserve">   </w:t>
      </w:r>
      <w:r w:rsidRPr="005F2054">
        <w:rPr>
          <w:rFonts w:ascii="Arial" w:hAnsi="Arial" w:cs="Arial"/>
          <w:color w:val="222222"/>
          <w:shd w:val="clear" w:color="auto" w:fill="FFFFFF"/>
          <w:lang w:val="en-US"/>
        </w:rPr>
        <w:t xml:space="preserve"> Hayashi K, Yamaguchi T, Yano S, Kanazawa I, Yamauchi M, Yamamoto M, Sugimoto T. BMP/</w:t>
      </w:r>
      <w:proofErr w:type="spellStart"/>
      <w:r w:rsidRPr="005F2054">
        <w:rPr>
          <w:rFonts w:ascii="Arial" w:hAnsi="Arial" w:cs="Arial"/>
          <w:color w:val="222222"/>
          <w:shd w:val="clear" w:color="auto" w:fill="FFFFFF"/>
          <w:lang w:val="en-US"/>
        </w:rPr>
        <w:t>Wnt</w:t>
      </w:r>
      <w:proofErr w:type="spellEnd"/>
      <w:r w:rsidRPr="005F2054">
        <w:rPr>
          <w:rFonts w:ascii="Arial" w:hAnsi="Arial" w:cs="Arial"/>
          <w:color w:val="222222"/>
          <w:shd w:val="clear" w:color="auto" w:fill="FFFFFF"/>
          <w:lang w:val="en-US"/>
        </w:rPr>
        <w:t xml:space="preserve"> antagonists are upregulated by dexamethasone in osteoblasts and reversed by alendronate and PTH: potential therapeutic targets for glucocorticoid-induced osteoporosis. </w:t>
      </w:r>
      <w:proofErr w:type="spellStart"/>
      <w:r w:rsidRPr="005F2054">
        <w:rPr>
          <w:rFonts w:ascii="Arial" w:hAnsi="Arial" w:cs="Arial"/>
          <w:color w:val="222222"/>
          <w:shd w:val="clear" w:color="auto" w:fill="FFFFFF"/>
          <w:lang w:val="en-US"/>
        </w:rPr>
        <w:t>Biochem</w:t>
      </w:r>
      <w:proofErr w:type="spellEnd"/>
      <w:r w:rsidRPr="005F2054">
        <w:rPr>
          <w:rFonts w:ascii="Arial" w:hAnsi="Arial" w:cs="Arial"/>
          <w:color w:val="222222"/>
          <w:shd w:val="clear" w:color="auto" w:fill="FFFFFF"/>
          <w:lang w:val="en-US"/>
        </w:rPr>
        <w:t xml:space="preserve"> </w:t>
      </w:r>
      <w:proofErr w:type="spellStart"/>
      <w:r w:rsidRPr="005F2054">
        <w:rPr>
          <w:rFonts w:ascii="Arial" w:hAnsi="Arial" w:cs="Arial"/>
          <w:color w:val="222222"/>
          <w:shd w:val="clear" w:color="auto" w:fill="FFFFFF"/>
          <w:lang w:val="en-US"/>
        </w:rPr>
        <w:t>Biophys</w:t>
      </w:r>
      <w:proofErr w:type="spellEnd"/>
      <w:r w:rsidRPr="005F2054">
        <w:rPr>
          <w:rFonts w:ascii="Arial" w:hAnsi="Arial" w:cs="Arial"/>
          <w:color w:val="222222"/>
          <w:shd w:val="clear" w:color="auto" w:fill="FFFFFF"/>
          <w:lang w:val="en-US"/>
        </w:rPr>
        <w:t xml:space="preserve"> Res Commun 2009; 379:261–266.</w:t>
      </w:r>
    </w:p>
    <w:p w14:paraId="63062565" w14:textId="7C2206D0" w:rsidR="0064791B" w:rsidRPr="005F2054" w:rsidRDefault="0064791B" w:rsidP="005F2054">
      <w:pPr>
        <w:spacing w:after="0"/>
        <w:ind w:left="576" w:hanging="576"/>
        <w:rPr>
          <w:rFonts w:ascii="Arial" w:hAnsi="Arial" w:cs="Arial"/>
          <w:color w:val="212121"/>
          <w:shd w:val="clear" w:color="auto" w:fill="FFFFFF"/>
          <w:lang w:val="en-US"/>
        </w:rPr>
      </w:pPr>
      <w:r w:rsidRPr="005F2054">
        <w:rPr>
          <w:rFonts w:ascii="Arial" w:hAnsi="Arial" w:cs="Arial"/>
          <w:color w:val="222222"/>
          <w:shd w:val="clear" w:color="auto" w:fill="FFFFFF"/>
          <w:lang w:val="en-US"/>
        </w:rPr>
        <w:t>51.</w:t>
      </w:r>
      <w:r w:rsidR="00B21D70">
        <w:rPr>
          <w:rFonts w:ascii="Arial" w:hAnsi="Arial" w:cs="Arial"/>
          <w:color w:val="222222"/>
          <w:shd w:val="clear" w:color="auto" w:fill="FFFFFF"/>
          <w:lang w:val="en-US"/>
        </w:rPr>
        <w:t xml:space="preserve">   </w:t>
      </w:r>
      <w:r w:rsidRPr="005F2054">
        <w:rPr>
          <w:rFonts w:ascii="Arial" w:hAnsi="Arial" w:cs="Arial"/>
          <w:color w:val="222222"/>
          <w:shd w:val="clear" w:color="auto" w:fill="FFFFFF"/>
          <w:lang w:val="en-US"/>
        </w:rPr>
        <w:t xml:space="preserve"> Mazziotti G, </w:t>
      </w:r>
      <w:proofErr w:type="spellStart"/>
      <w:r w:rsidRPr="005F2054">
        <w:rPr>
          <w:rFonts w:ascii="Arial" w:hAnsi="Arial" w:cs="Arial"/>
          <w:color w:val="222222"/>
          <w:shd w:val="clear" w:color="auto" w:fill="FFFFFF"/>
          <w:lang w:val="en-US"/>
        </w:rPr>
        <w:t>Formenti</w:t>
      </w:r>
      <w:proofErr w:type="spellEnd"/>
      <w:r w:rsidRPr="005F2054">
        <w:rPr>
          <w:rFonts w:ascii="Arial" w:hAnsi="Arial" w:cs="Arial"/>
          <w:color w:val="222222"/>
          <w:shd w:val="clear" w:color="auto" w:fill="FFFFFF"/>
          <w:lang w:val="en-US"/>
        </w:rPr>
        <w:t xml:space="preserve"> AM, Adler RA, </w:t>
      </w:r>
      <w:proofErr w:type="spellStart"/>
      <w:r w:rsidRPr="005F2054">
        <w:rPr>
          <w:rFonts w:ascii="Arial" w:hAnsi="Arial" w:cs="Arial"/>
          <w:color w:val="222222"/>
          <w:shd w:val="clear" w:color="auto" w:fill="FFFFFF"/>
          <w:lang w:val="en-US"/>
        </w:rPr>
        <w:t>Bilezikian</w:t>
      </w:r>
      <w:proofErr w:type="spellEnd"/>
      <w:r w:rsidRPr="005F2054">
        <w:rPr>
          <w:rFonts w:ascii="Arial" w:hAnsi="Arial" w:cs="Arial"/>
          <w:color w:val="222222"/>
          <w:shd w:val="clear" w:color="auto" w:fill="FFFFFF"/>
          <w:lang w:val="en-US"/>
        </w:rPr>
        <w:t xml:space="preserve"> JP, Grossman A, Sbardella E, </w:t>
      </w:r>
      <w:proofErr w:type="spellStart"/>
      <w:r w:rsidRPr="005F2054">
        <w:rPr>
          <w:rFonts w:ascii="Arial" w:hAnsi="Arial" w:cs="Arial"/>
          <w:color w:val="222222"/>
          <w:shd w:val="clear" w:color="auto" w:fill="FFFFFF"/>
          <w:lang w:val="en-US"/>
        </w:rPr>
        <w:t>Minisola</w:t>
      </w:r>
      <w:proofErr w:type="spellEnd"/>
      <w:r w:rsidRPr="005F2054">
        <w:rPr>
          <w:rFonts w:ascii="Arial" w:hAnsi="Arial" w:cs="Arial"/>
          <w:color w:val="222222"/>
          <w:shd w:val="clear" w:color="auto" w:fill="FFFFFF"/>
          <w:lang w:val="en-US"/>
        </w:rPr>
        <w:t xml:space="preserve"> S, Giustina A Glucocorticoid-induced osteoporosis: pathophysiological role of GH/IGF-I and PTH/VITAMIN D axes, treatment options and guidelines. Endocrine </w:t>
      </w:r>
      <w:r w:rsidR="006A1A5E" w:rsidRPr="005F2054">
        <w:rPr>
          <w:rFonts w:ascii="Arial" w:hAnsi="Arial" w:cs="Arial"/>
          <w:color w:val="222222"/>
          <w:shd w:val="clear" w:color="auto" w:fill="FFFFFF"/>
          <w:lang w:val="en-US"/>
        </w:rPr>
        <w:t>2016; 54:603</w:t>
      </w:r>
      <w:r w:rsidRPr="005F2054">
        <w:rPr>
          <w:rFonts w:ascii="Arial" w:hAnsi="Arial" w:cs="Arial"/>
          <w:color w:val="222222"/>
          <w:shd w:val="clear" w:color="auto" w:fill="FFFFFF"/>
          <w:lang w:val="en-US"/>
        </w:rPr>
        <w:t>–611. </w:t>
      </w:r>
      <w:r w:rsidRPr="005F2054">
        <w:rPr>
          <w:rFonts w:ascii="Arial" w:hAnsi="Arial" w:cs="Arial"/>
          <w:color w:val="212121"/>
          <w:shd w:val="clear" w:color="auto" w:fill="FFFFFF"/>
          <w:lang w:val="en-US"/>
        </w:rPr>
        <w:t xml:space="preserve"> </w:t>
      </w:r>
    </w:p>
    <w:p w14:paraId="7DD5897A" w14:textId="2CAD6F58" w:rsidR="0064791B" w:rsidRPr="005F2054" w:rsidRDefault="0064791B" w:rsidP="005F2054">
      <w:pPr>
        <w:spacing w:after="0"/>
        <w:ind w:left="576" w:hanging="576"/>
        <w:rPr>
          <w:rFonts w:ascii="Arial" w:hAnsi="Arial" w:cs="Arial"/>
          <w:color w:val="222222"/>
          <w:shd w:val="clear" w:color="auto" w:fill="FFFFFF"/>
          <w:lang w:val="en-US"/>
        </w:rPr>
      </w:pPr>
      <w:r w:rsidRPr="005F2054">
        <w:rPr>
          <w:rFonts w:ascii="Arial" w:hAnsi="Arial" w:cs="Arial"/>
          <w:color w:val="212121"/>
          <w:shd w:val="clear" w:color="auto" w:fill="FFFFFF"/>
          <w:lang w:val="en-US"/>
        </w:rPr>
        <w:t>52.</w:t>
      </w:r>
      <w:r w:rsidR="00B21D70">
        <w:rPr>
          <w:rFonts w:ascii="Arial" w:hAnsi="Arial" w:cs="Arial"/>
          <w:color w:val="212121"/>
          <w:shd w:val="clear" w:color="auto" w:fill="FFFFFF"/>
          <w:lang w:val="en-US"/>
        </w:rPr>
        <w:t xml:space="preserve">   </w:t>
      </w:r>
      <w:r w:rsidRPr="005F2054">
        <w:rPr>
          <w:rFonts w:ascii="Arial" w:hAnsi="Arial" w:cs="Arial"/>
          <w:color w:val="222222"/>
          <w:shd w:val="clear" w:color="auto" w:fill="FFFFFF"/>
          <w:lang w:val="en-US"/>
        </w:rPr>
        <w:t xml:space="preserve"> Takuma A, Kaneda T, Sato T, Ninomiya S, </w:t>
      </w:r>
      <w:proofErr w:type="spellStart"/>
      <w:r w:rsidRPr="005F2054">
        <w:rPr>
          <w:rFonts w:ascii="Arial" w:hAnsi="Arial" w:cs="Arial"/>
          <w:color w:val="222222"/>
          <w:shd w:val="clear" w:color="auto" w:fill="FFFFFF"/>
          <w:lang w:val="en-US"/>
        </w:rPr>
        <w:t>Kumegawa</w:t>
      </w:r>
      <w:proofErr w:type="spellEnd"/>
      <w:r w:rsidRPr="005F2054">
        <w:rPr>
          <w:rFonts w:ascii="Arial" w:hAnsi="Arial" w:cs="Arial"/>
          <w:color w:val="222222"/>
          <w:shd w:val="clear" w:color="auto" w:fill="FFFFFF"/>
          <w:lang w:val="en-US"/>
        </w:rPr>
        <w:t xml:space="preserve"> M, </w:t>
      </w:r>
      <w:proofErr w:type="spellStart"/>
      <w:r w:rsidRPr="005F2054">
        <w:rPr>
          <w:rFonts w:ascii="Arial" w:hAnsi="Arial" w:cs="Arial"/>
          <w:color w:val="222222"/>
          <w:shd w:val="clear" w:color="auto" w:fill="FFFFFF"/>
          <w:lang w:val="en-US"/>
        </w:rPr>
        <w:t>Hakeda</w:t>
      </w:r>
      <w:proofErr w:type="spellEnd"/>
      <w:r w:rsidRPr="005F2054">
        <w:rPr>
          <w:rFonts w:ascii="Arial" w:hAnsi="Arial" w:cs="Arial"/>
          <w:color w:val="222222"/>
          <w:shd w:val="clear" w:color="auto" w:fill="FFFFFF"/>
          <w:lang w:val="en-US"/>
        </w:rPr>
        <w:t xml:space="preserve"> Y Dexamethasone enhances osteoclast formation synergistically with transforming growth factor-beta by stimulating the priming of osteoclast progenitors for differentiation into osteoclasts. J Biol Chem </w:t>
      </w:r>
      <w:r w:rsidR="006A1A5E" w:rsidRPr="005F2054">
        <w:rPr>
          <w:rFonts w:ascii="Arial" w:hAnsi="Arial" w:cs="Arial"/>
          <w:color w:val="222222"/>
          <w:shd w:val="clear" w:color="auto" w:fill="FFFFFF"/>
          <w:lang w:val="en-US"/>
        </w:rPr>
        <w:t>2003; 278:44667</w:t>
      </w:r>
      <w:r w:rsidRPr="005F2054">
        <w:rPr>
          <w:rFonts w:ascii="Arial" w:hAnsi="Arial" w:cs="Arial"/>
          <w:color w:val="222222"/>
          <w:shd w:val="clear" w:color="auto" w:fill="FFFFFF"/>
          <w:lang w:val="en-US"/>
        </w:rPr>
        <w:t>–44674.</w:t>
      </w:r>
    </w:p>
    <w:p w14:paraId="0407FBD8" w14:textId="24EEBC54" w:rsidR="0064791B" w:rsidRPr="005F2054" w:rsidRDefault="0064791B" w:rsidP="005F2054">
      <w:pPr>
        <w:spacing w:after="0"/>
        <w:ind w:left="576" w:hanging="576"/>
        <w:rPr>
          <w:rFonts w:ascii="Arial" w:hAnsi="Arial" w:cs="Arial"/>
          <w:lang w:val="en-US"/>
        </w:rPr>
      </w:pPr>
      <w:r w:rsidRPr="005F2054">
        <w:rPr>
          <w:rFonts w:ascii="Arial" w:hAnsi="Arial" w:cs="Arial"/>
          <w:color w:val="222222"/>
          <w:shd w:val="clear" w:color="auto" w:fill="FFFFFF"/>
          <w:lang w:val="en-US"/>
        </w:rPr>
        <w:t>53.</w:t>
      </w:r>
      <w:r w:rsidR="00B21D70">
        <w:rPr>
          <w:rFonts w:ascii="Arial" w:hAnsi="Arial" w:cs="Arial"/>
          <w:color w:val="222222"/>
          <w:shd w:val="clear" w:color="auto" w:fill="FFFFFF"/>
          <w:lang w:val="en-US"/>
        </w:rPr>
        <w:t xml:space="preserve">   </w:t>
      </w:r>
      <w:r w:rsidRPr="005F2054">
        <w:rPr>
          <w:rFonts w:ascii="Arial" w:hAnsi="Arial" w:cs="Arial"/>
          <w:lang w:val="en-US"/>
        </w:rPr>
        <w:t xml:space="preserve"> Meng Chen B, Fua W, </w:t>
      </w:r>
      <w:proofErr w:type="spellStart"/>
      <w:r w:rsidRPr="005F2054">
        <w:rPr>
          <w:rFonts w:ascii="Arial" w:hAnsi="Arial" w:cs="Arial"/>
          <w:lang w:val="en-US"/>
        </w:rPr>
        <w:t>Xub</w:t>
      </w:r>
      <w:proofErr w:type="spellEnd"/>
      <w:r w:rsidRPr="005F2054">
        <w:rPr>
          <w:rFonts w:ascii="Arial" w:hAnsi="Arial" w:cs="Arial"/>
          <w:lang w:val="en-US"/>
        </w:rPr>
        <w:t xml:space="preserve"> H, Chuan-Ju </w:t>
      </w:r>
      <w:proofErr w:type="spellStart"/>
      <w:r w:rsidRPr="005F2054">
        <w:rPr>
          <w:rFonts w:ascii="Arial" w:hAnsi="Arial" w:cs="Arial"/>
          <w:lang w:val="en-US"/>
        </w:rPr>
        <w:t>Liua</w:t>
      </w:r>
      <w:proofErr w:type="spellEnd"/>
      <w:r w:rsidRPr="005F2054">
        <w:rPr>
          <w:rFonts w:ascii="Arial" w:hAnsi="Arial" w:cs="Arial"/>
          <w:lang w:val="en-US"/>
        </w:rPr>
        <w:t>, C</w:t>
      </w:r>
      <w:r w:rsidR="00B04C36" w:rsidRPr="005F2054">
        <w:rPr>
          <w:rFonts w:ascii="Arial" w:hAnsi="Arial" w:cs="Arial"/>
          <w:lang w:val="en-US"/>
        </w:rPr>
        <w:t xml:space="preserve">. </w:t>
      </w:r>
      <w:r w:rsidRPr="005F2054">
        <w:rPr>
          <w:rFonts w:ascii="Arial" w:hAnsi="Arial" w:cs="Arial"/>
          <w:lang w:val="en-US"/>
        </w:rPr>
        <w:t xml:space="preserve"> Pathogenic mechanisms of glucocorticoid-induced osteoporosis Cytokine Growth Factor Rev. 2023; 70: 54–66</w:t>
      </w:r>
    </w:p>
    <w:p w14:paraId="41553DF3" w14:textId="37CAF9E6" w:rsidR="0064791B" w:rsidRPr="005F2054" w:rsidRDefault="0064791B" w:rsidP="005F2054">
      <w:pPr>
        <w:spacing w:after="0"/>
        <w:ind w:left="576" w:hanging="576"/>
        <w:rPr>
          <w:rFonts w:ascii="Arial" w:hAnsi="Arial" w:cs="Arial"/>
          <w:lang w:val="en-US"/>
        </w:rPr>
      </w:pPr>
      <w:r w:rsidRPr="005F2054">
        <w:rPr>
          <w:rFonts w:ascii="Arial" w:hAnsi="Arial" w:cs="Arial"/>
          <w:lang w:val="en-US"/>
        </w:rPr>
        <w:t>54.</w:t>
      </w:r>
      <w:r w:rsidR="00B21D70">
        <w:rPr>
          <w:rFonts w:ascii="Arial" w:hAnsi="Arial" w:cs="Arial"/>
          <w:lang w:val="en-US"/>
        </w:rPr>
        <w:t xml:space="preserve">    </w:t>
      </w:r>
      <w:r w:rsidRPr="005F2054">
        <w:rPr>
          <w:rFonts w:ascii="Arial" w:hAnsi="Arial" w:cs="Arial"/>
          <w:lang w:val="en-US"/>
        </w:rPr>
        <w:t>Epstein S. P</w:t>
      </w:r>
      <w:proofErr w:type="spellStart"/>
      <w:r w:rsidRPr="005F2054">
        <w:rPr>
          <w:rFonts w:ascii="Arial" w:hAnsi="Arial" w:cs="Arial"/>
          <w:lang w:val="en-US"/>
        </w:rPr>
        <w:t>ostransplantation</w:t>
      </w:r>
      <w:proofErr w:type="spellEnd"/>
      <w:r w:rsidRPr="005F2054">
        <w:rPr>
          <w:rFonts w:ascii="Arial" w:hAnsi="Arial" w:cs="Arial"/>
          <w:lang w:val="en-US"/>
        </w:rPr>
        <w:t xml:space="preserve"> bone disease: the role of immunosuppressive agents and the skeleton. J Bone Miner Res 1996; 11:1-7</w:t>
      </w:r>
    </w:p>
    <w:p w14:paraId="52E9BB27" w14:textId="04B271E1" w:rsidR="00CD445A" w:rsidRPr="005F2054" w:rsidRDefault="0064791B" w:rsidP="005F2054">
      <w:pPr>
        <w:spacing w:after="0"/>
        <w:ind w:left="576" w:hanging="576"/>
        <w:rPr>
          <w:rFonts w:ascii="Arial" w:hAnsi="Arial" w:cs="Arial"/>
          <w:lang w:val="en-US"/>
        </w:rPr>
      </w:pPr>
      <w:r w:rsidRPr="005F2054">
        <w:rPr>
          <w:rFonts w:ascii="Arial" w:hAnsi="Arial" w:cs="Arial"/>
          <w:lang w:val="en-US"/>
        </w:rPr>
        <w:t>54.</w:t>
      </w:r>
      <w:r w:rsidR="00B21D70">
        <w:rPr>
          <w:rFonts w:ascii="Arial" w:hAnsi="Arial" w:cs="Arial"/>
          <w:lang w:val="en-US"/>
        </w:rPr>
        <w:t xml:space="preserve">    </w:t>
      </w:r>
      <w:r w:rsidRPr="005F2054">
        <w:rPr>
          <w:rFonts w:ascii="Arial" w:hAnsi="Arial" w:cs="Arial"/>
          <w:lang w:val="en-US"/>
        </w:rPr>
        <w:t xml:space="preserve">Goffin </w:t>
      </w:r>
      <w:r w:rsidR="00CD445A" w:rsidRPr="005F2054">
        <w:rPr>
          <w:rFonts w:ascii="Arial" w:hAnsi="Arial" w:cs="Arial"/>
          <w:lang w:val="en-US"/>
        </w:rPr>
        <w:t>E</w:t>
      </w:r>
      <w:r w:rsidRPr="005F2054">
        <w:rPr>
          <w:rFonts w:ascii="Arial" w:hAnsi="Arial" w:cs="Arial"/>
          <w:lang w:val="en-US"/>
        </w:rPr>
        <w:t xml:space="preserve">, </w:t>
      </w:r>
      <w:proofErr w:type="spellStart"/>
      <w:r w:rsidRPr="005F2054">
        <w:rPr>
          <w:rFonts w:ascii="Arial" w:hAnsi="Arial" w:cs="Arial"/>
          <w:lang w:val="en-US"/>
        </w:rPr>
        <w:t>Devogelaer</w:t>
      </w:r>
      <w:proofErr w:type="spellEnd"/>
      <w:r w:rsidRPr="005F2054">
        <w:rPr>
          <w:rFonts w:ascii="Arial" w:hAnsi="Arial" w:cs="Arial"/>
          <w:lang w:val="en-US"/>
        </w:rPr>
        <w:t xml:space="preserve"> JP, </w:t>
      </w:r>
      <w:proofErr w:type="spellStart"/>
      <w:r w:rsidRPr="005F2054">
        <w:rPr>
          <w:rFonts w:ascii="Arial" w:hAnsi="Arial" w:cs="Arial"/>
          <w:lang w:val="en-US"/>
        </w:rPr>
        <w:t>Depresseux</w:t>
      </w:r>
      <w:proofErr w:type="spellEnd"/>
      <w:r w:rsidRPr="005F2054">
        <w:rPr>
          <w:rFonts w:ascii="Arial" w:hAnsi="Arial" w:cs="Arial"/>
          <w:lang w:val="en-US"/>
        </w:rPr>
        <w:t xml:space="preserve"> G, </w:t>
      </w:r>
      <w:proofErr w:type="spellStart"/>
      <w:r w:rsidRPr="005F2054">
        <w:rPr>
          <w:rFonts w:ascii="Arial" w:hAnsi="Arial" w:cs="Arial"/>
          <w:lang w:val="en-US"/>
        </w:rPr>
        <w:t>Squiflflet</w:t>
      </w:r>
      <w:proofErr w:type="spellEnd"/>
      <w:r w:rsidRPr="005F2054">
        <w:rPr>
          <w:rFonts w:ascii="Arial" w:hAnsi="Arial" w:cs="Arial"/>
          <w:lang w:val="en-US"/>
        </w:rPr>
        <w:t xml:space="preserve"> JP, </w:t>
      </w:r>
      <w:proofErr w:type="spellStart"/>
      <w:r w:rsidRPr="005F2054">
        <w:rPr>
          <w:rFonts w:ascii="Arial" w:hAnsi="Arial" w:cs="Arial"/>
          <w:lang w:val="en-US"/>
        </w:rPr>
        <w:t>Pirson</w:t>
      </w:r>
      <w:proofErr w:type="spellEnd"/>
      <w:r w:rsidRPr="005F2054">
        <w:rPr>
          <w:rFonts w:ascii="Arial" w:hAnsi="Arial" w:cs="Arial"/>
          <w:lang w:val="en-US"/>
        </w:rPr>
        <w:t xml:space="preserve"> Y. Osteoporosis after organ transplantation. </w:t>
      </w:r>
      <w:r w:rsidR="00CD445A" w:rsidRPr="005F2054">
        <w:rPr>
          <w:rFonts w:ascii="Arial" w:hAnsi="Arial" w:cs="Arial"/>
          <w:lang w:val="en-US"/>
        </w:rPr>
        <w:t xml:space="preserve">Lancet. 2001;357(9268):1623. </w:t>
      </w:r>
    </w:p>
    <w:p w14:paraId="0644A942" w14:textId="624A0DC0" w:rsidR="0064791B" w:rsidRPr="005F2054" w:rsidRDefault="0064791B" w:rsidP="005F2054">
      <w:pPr>
        <w:spacing w:after="0"/>
        <w:ind w:left="576" w:hanging="576"/>
        <w:rPr>
          <w:rFonts w:ascii="Arial" w:hAnsi="Arial" w:cs="Arial"/>
          <w:lang w:val="en-US"/>
        </w:rPr>
      </w:pPr>
      <w:r w:rsidRPr="005F2054">
        <w:rPr>
          <w:rFonts w:ascii="Arial" w:hAnsi="Arial" w:cs="Arial"/>
          <w:lang w:val="en-US"/>
        </w:rPr>
        <w:t>55.</w:t>
      </w:r>
      <w:r w:rsidR="00B21D70">
        <w:rPr>
          <w:rFonts w:ascii="Arial" w:hAnsi="Arial" w:cs="Arial"/>
          <w:lang w:val="en-US"/>
        </w:rPr>
        <w:t xml:space="preserve">    </w:t>
      </w:r>
      <w:proofErr w:type="spellStart"/>
      <w:r w:rsidRPr="005F2054">
        <w:rPr>
          <w:rFonts w:ascii="Arial" w:hAnsi="Arial" w:cs="Arial"/>
          <w:lang w:val="en-US"/>
        </w:rPr>
        <w:t>SchoslbergM</w:t>
      </w:r>
      <w:proofErr w:type="spellEnd"/>
      <w:r w:rsidRPr="005F2054">
        <w:rPr>
          <w:rFonts w:ascii="Arial" w:hAnsi="Arial" w:cs="Arial"/>
          <w:lang w:val="en-US"/>
        </w:rPr>
        <w:t xml:space="preserve">, </w:t>
      </w:r>
      <w:proofErr w:type="spellStart"/>
      <w:r w:rsidRPr="005F2054">
        <w:rPr>
          <w:rFonts w:ascii="Arial" w:hAnsi="Arial" w:cs="Arial"/>
          <w:lang w:val="en-US"/>
        </w:rPr>
        <w:t>Movsowitz</w:t>
      </w:r>
      <w:proofErr w:type="spellEnd"/>
      <w:r w:rsidRPr="005F2054">
        <w:rPr>
          <w:rFonts w:ascii="Arial" w:hAnsi="Arial" w:cs="Arial"/>
          <w:lang w:val="en-US"/>
        </w:rPr>
        <w:t xml:space="preserve"> C, Epstein S, Ismail F, Fallon MD, Thomas S</w:t>
      </w:r>
      <w:r w:rsidR="00B04C36" w:rsidRPr="005F2054">
        <w:rPr>
          <w:rFonts w:ascii="Arial" w:hAnsi="Arial" w:cs="Arial"/>
          <w:lang w:val="en-US"/>
        </w:rPr>
        <w:t>.</w:t>
      </w:r>
      <w:r w:rsidRPr="005F2054">
        <w:rPr>
          <w:rFonts w:ascii="Arial" w:hAnsi="Arial" w:cs="Arial"/>
          <w:lang w:val="en-US"/>
        </w:rPr>
        <w:t xml:space="preserve"> The effect of cyclosporin A administration and its withdrawal on bone mineral metabolism in the Rat- Endocrinology </w:t>
      </w:r>
      <w:r w:rsidR="006A1A5E" w:rsidRPr="005F2054">
        <w:rPr>
          <w:rFonts w:ascii="Arial" w:hAnsi="Arial" w:cs="Arial"/>
          <w:lang w:val="en-US"/>
        </w:rPr>
        <w:t>1989; 124:2179</w:t>
      </w:r>
      <w:r w:rsidRPr="005F2054">
        <w:rPr>
          <w:rFonts w:ascii="Arial" w:hAnsi="Arial" w:cs="Arial"/>
          <w:lang w:val="en-US"/>
        </w:rPr>
        <w:t>-2184</w:t>
      </w:r>
    </w:p>
    <w:p w14:paraId="131E084B" w14:textId="48A85441" w:rsidR="0064791B" w:rsidRPr="005F2054" w:rsidRDefault="0064791B" w:rsidP="005F2054">
      <w:pPr>
        <w:spacing w:after="0"/>
        <w:ind w:left="576" w:hanging="576"/>
        <w:rPr>
          <w:rFonts w:ascii="Arial" w:hAnsi="Arial" w:cs="Arial"/>
          <w:lang w:val="en-US"/>
        </w:rPr>
      </w:pPr>
      <w:r w:rsidRPr="005F2054">
        <w:rPr>
          <w:rFonts w:ascii="Arial" w:hAnsi="Arial" w:cs="Arial"/>
          <w:lang w:val="en-US"/>
        </w:rPr>
        <w:t>56.</w:t>
      </w:r>
      <w:r w:rsidR="00B21D70">
        <w:rPr>
          <w:rFonts w:ascii="Arial" w:hAnsi="Arial" w:cs="Arial"/>
          <w:lang w:val="en-US"/>
        </w:rPr>
        <w:t xml:space="preserve">    </w:t>
      </w:r>
      <w:r w:rsidRPr="005F2054">
        <w:rPr>
          <w:rFonts w:ascii="Arial" w:hAnsi="Arial" w:cs="Arial"/>
          <w:lang w:val="en-US"/>
        </w:rPr>
        <w:t xml:space="preserve">Orcel P, </w:t>
      </w:r>
      <w:proofErr w:type="spellStart"/>
      <w:r w:rsidRPr="005F2054">
        <w:rPr>
          <w:rFonts w:ascii="Arial" w:hAnsi="Arial" w:cs="Arial"/>
          <w:lang w:val="en-US"/>
        </w:rPr>
        <w:t>Bielakoff</w:t>
      </w:r>
      <w:proofErr w:type="spellEnd"/>
      <w:r w:rsidRPr="005F2054">
        <w:rPr>
          <w:rFonts w:ascii="Arial" w:hAnsi="Arial" w:cs="Arial"/>
          <w:lang w:val="en-US"/>
        </w:rPr>
        <w:t xml:space="preserve"> J, </w:t>
      </w:r>
      <w:proofErr w:type="spellStart"/>
      <w:r w:rsidRPr="005F2054">
        <w:rPr>
          <w:rFonts w:ascii="Arial" w:hAnsi="Arial" w:cs="Arial"/>
          <w:lang w:val="en-US"/>
        </w:rPr>
        <w:t>Modrowski</w:t>
      </w:r>
      <w:proofErr w:type="spellEnd"/>
      <w:r w:rsidRPr="005F2054">
        <w:rPr>
          <w:rFonts w:ascii="Arial" w:hAnsi="Arial" w:cs="Arial"/>
          <w:lang w:val="en-US"/>
        </w:rPr>
        <w:t xml:space="preserve"> D, </w:t>
      </w:r>
      <w:proofErr w:type="spellStart"/>
      <w:r w:rsidRPr="005F2054">
        <w:rPr>
          <w:rFonts w:ascii="Arial" w:hAnsi="Arial" w:cs="Arial"/>
          <w:lang w:val="en-US"/>
        </w:rPr>
        <w:t>Miravet</w:t>
      </w:r>
      <w:proofErr w:type="spellEnd"/>
      <w:r w:rsidRPr="005F2054">
        <w:rPr>
          <w:rFonts w:ascii="Arial" w:hAnsi="Arial" w:cs="Arial"/>
          <w:lang w:val="en-US"/>
        </w:rPr>
        <w:t xml:space="preserve"> L, de </w:t>
      </w:r>
      <w:proofErr w:type="spellStart"/>
      <w:r w:rsidRPr="005F2054">
        <w:rPr>
          <w:rFonts w:ascii="Arial" w:hAnsi="Arial" w:cs="Arial"/>
          <w:lang w:val="en-US"/>
        </w:rPr>
        <w:t>Vernejoul</w:t>
      </w:r>
      <w:proofErr w:type="spellEnd"/>
      <w:r w:rsidRPr="005F2054">
        <w:rPr>
          <w:rFonts w:ascii="Arial" w:hAnsi="Arial" w:cs="Arial"/>
          <w:lang w:val="en-US"/>
        </w:rPr>
        <w:t xml:space="preserve"> MC. Cyclosporin A induces in vivo inhibition of resorption and stimulation of formation in rt bone. J Bone Miner Res 1989; 4:387-91</w:t>
      </w:r>
    </w:p>
    <w:p w14:paraId="0230EB62" w14:textId="6B5B8C4A" w:rsidR="0064791B" w:rsidRPr="005F2054" w:rsidRDefault="0064791B" w:rsidP="005F2054">
      <w:pPr>
        <w:spacing w:after="0"/>
        <w:ind w:left="576" w:hanging="576"/>
        <w:rPr>
          <w:rFonts w:ascii="Arial" w:hAnsi="Arial" w:cs="Arial"/>
          <w:lang w:val="en-US"/>
        </w:rPr>
      </w:pPr>
      <w:r w:rsidRPr="005F2054">
        <w:rPr>
          <w:rFonts w:ascii="Arial" w:hAnsi="Arial" w:cs="Arial"/>
          <w:lang w:val="en-US"/>
        </w:rPr>
        <w:t>57.</w:t>
      </w:r>
      <w:r w:rsidR="00B21D70">
        <w:rPr>
          <w:rFonts w:ascii="Arial" w:hAnsi="Arial" w:cs="Arial"/>
          <w:lang w:val="en-US"/>
        </w:rPr>
        <w:t xml:space="preserve">    </w:t>
      </w:r>
      <w:r w:rsidRPr="005F2054">
        <w:rPr>
          <w:rFonts w:ascii="Arial" w:hAnsi="Arial" w:cs="Arial"/>
          <w:lang w:val="en-US"/>
        </w:rPr>
        <w:t xml:space="preserve">Kanda J, Izumo N, Furukawa M, </w:t>
      </w:r>
      <w:proofErr w:type="spellStart"/>
      <w:r w:rsidRPr="005F2054">
        <w:rPr>
          <w:rFonts w:ascii="Arial" w:hAnsi="Arial" w:cs="Arial"/>
          <w:lang w:val="en-US"/>
        </w:rPr>
        <w:t>Shimakura</w:t>
      </w:r>
      <w:proofErr w:type="spellEnd"/>
      <w:r w:rsidRPr="005F2054">
        <w:rPr>
          <w:rFonts w:ascii="Arial" w:hAnsi="Arial" w:cs="Arial"/>
          <w:lang w:val="en-US"/>
        </w:rPr>
        <w:t xml:space="preserve"> T, Yamamoto N, Takahashi E, Asakura T, Wakabayashi H. Effects of calcineurin inhibitors cyclosporine and tacrolimus on bone metabolism in rats. Biomedical Research (Tokyo) 2018; 31:131-139</w:t>
      </w:r>
    </w:p>
    <w:p w14:paraId="29C2C2AE" w14:textId="16B3D9FE" w:rsidR="0064791B" w:rsidRPr="005F2054" w:rsidRDefault="0064791B" w:rsidP="005F2054">
      <w:pPr>
        <w:spacing w:after="0"/>
        <w:ind w:left="576" w:hanging="576"/>
        <w:rPr>
          <w:rFonts w:ascii="Arial" w:hAnsi="Arial" w:cs="Arial"/>
          <w:lang w:val="en-US"/>
        </w:rPr>
      </w:pPr>
      <w:r w:rsidRPr="005F2054">
        <w:rPr>
          <w:rFonts w:ascii="Arial" w:hAnsi="Arial" w:cs="Arial"/>
          <w:lang w:val="en-US"/>
        </w:rPr>
        <w:t>58.</w:t>
      </w:r>
      <w:r w:rsidR="00B21D70">
        <w:rPr>
          <w:rFonts w:ascii="Arial" w:hAnsi="Arial" w:cs="Arial"/>
          <w:lang w:val="en-US"/>
        </w:rPr>
        <w:t xml:space="preserve">    </w:t>
      </w:r>
      <w:proofErr w:type="spellStart"/>
      <w:r w:rsidRPr="005F2054">
        <w:rPr>
          <w:rFonts w:ascii="Arial" w:hAnsi="Arial" w:cs="Arial"/>
          <w:lang w:val="en-US"/>
        </w:rPr>
        <w:t>Movsowitz</w:t>
      </w:r>
      <w:proofErr w:type="spellEnd"/>
      <w:r w:rsidRPr="005F2054">
        <w:rPr>
          <w:rFonts w:ascii="Arial" w:hAnsi="Arial" w:cs="Arial"/>
          <w:lang w:val="en-US"/>
        </w:rPr>
        <w:t xml:space="preserve"> C, Epstein M, Fallon M, Ismail f, Thomas S. Cyclosporin A in vivo produces severe osteopenia in the rat: effect of dose and duration of administration. Endocrinology 1988; 123:2571-7</w:t>
      </w:r>
    </w:p>
    <w:p w14:paraId="2FB349E8" w14:textId="33F516D4" w:rsidR="0064791B" w:rsidRPr="005F2054" w:rsidRDefault="0064791B" w:rsidP="005F2054">
      <w:pPr>
        <w:spacing w:after="0"/>
        <w:ind w:left="576" w:hanging="576"/>
        <w:rPr>
          <w:rFonts w:ascii="Arial" w:hAnsi="Arial" w:cs="Arial"/>
          <w:lang w:val="en-US"/>
        </w:rPr>
      </w:pPr>
      <w:r w:rsidRPr="005F2054">
        <w:rPr>
          <w:rFonts w:ascii="Arial" w:hAnsi="Arial" w:cs="Arial"/>
          <w:lang w:val="en-US"/>
        </w:rPr>
        <w:t>59.</w:t>
      </w:r>
      <w:r w:rsidR="00B21D70">
        <w:rPr>
          <w:rFonts w:ascii="Arial" w:hAnsi="Arial" w:cs="Arial"/>
          <w:lang w:val="en-US"/>
        </w:rPr>
        <w:t xml:space="preserve">    </w:t>
      </w:r>
      <w:r w:rsidRPr="005F2054">
        <w:rPr>
          <w:rFonts w:ascii="Arial" w:hAnsi="Arial" w:cs="Arial"/>
          <w:lang w:val="en-US"/>
        </w:rPr>
        <w:t>Ponticelli V, Aroldi A. Osteoporosis after organ transplantation. The Lancet 2001; 357:1623-24.</w:t>
      </w:r>
    </w:p>
    <w:p w14:paraId="0C2718B5" w14:textId="04CCC923" w:rsidR="0064791B" w:rsidRPr="005F2054" w:rsidRDefault="0064791B" w:rsidP="005F2054">
      <w:pPr>
        <w:spacing w:after="0"/>
        <w:ind w:left="576" w:hanging="576"/>
        <w:rPr>
          <w:rFonts w:ascii="Arial" w:hAnsi="Arial" w:cs="Arial"/>
        </w:rPr>
      </w:pPr>
      <w:r w:rsidRPr="005F2054">
        <w:rPr>
          <w:rFonts w:ascii="Arial" w:hAnsi="Arial" w:cs="Arial"/>
          <w:lang w:val="en-US"/>
        </w:rPr>
        <w:t>60.</w:t>
      </w:r>
      <w:r w:rsidR="00B21D70">
        <w:rPr>
          <w:rFonts w:ascii="Arial" w:hAnsi="Arial" w:cs="Arial"/>
          <w:lang w:val="en-US"/>
        </w:rPr>
        <w:t xml:space="preserve">   </w:t>
      </w:r>
      <w:r w:rsidRPr="005F2054">
        <w:rPr>
          <w:rFonts w:ascii="Arial" w:hAnsi="Arial" w:cs="Arial"/>
          <w:lang w:val="en-US"/>
        </w:rPr>
        <w:t xml:space="preserve"> </w:t>
      </w:r>
      <w:proofErr w:type="spellStart"/>
      <w:r w:rsidRPr="005F2054">
        <w:rPr>
          <w:rFonts w:ascii="Arial" w:hAnsi="Arial" w:cs="Arial"/>
          <w:lang w:val="en-US"/>
        </w:rPr>
        <w:t>Guichelar</w:t>
      </w:r>
      <w:proofErr w:type="spellEnd"/>
      <w:r w:rsidRPr="005F2054">
        <w:rPr>
          <w:rFonts w:ascii="Arial" w:hAnsi="Arial" w:cs="Arial"/>
          <w:lang w:val="en-US"/>
        </w:rPr>
        <w:t xml:space="preserve"> MM, Schmoll J, </w:t>
      </w:r>
      <w:proofErr w:type="spellStart"/>
      <w:r w:rsidRPr="005F2054">
        <w:rPr>
          <w:rFonts w:ascii="Arial" w:hAnsi="Arial" w:cs="Arial"/>
          <w:lang w:val="en-US"/>
        </w:rPr>
        <w:t>Malinchoc</w:t>
      </w:r>
      <w:proofErr w:type="spellEnd"/>
      <w:r w:rsidRPr="005F2054">
        <w:rPr>
          <w:rFonts w:ascii="Arial" w:hAnsi="Arial" w:cs="Arial"/>
          <w:lang w:val="en-US"/>
        </w:rPr>
        <w:t xml:space="preserve"> M, Hay JE: Fractures and avascular necrosis before and after orthotopic liver transplantation: long-term follow-up and predictive factors. </w:t>
      </w:r>
      <w:proofErr w:type="spellStart"/>
      <w:r w:rsidRPr="005F2054">
        <w:rPr>
          <w:rFonts w:ascii="Arial" w:hAnsi="Arial" w:cs="Arial"/>
        </w:rPr>
        <w:t>Hepatology</w:t>
      </w:r>
      <w:proofErr w:type="spellEnd"/>
      <w:r w:rsidRPr="005F2054">
        <w:rPr>
          <w:rFonts w:ascii="Arial" w:hAnsi="Arial" w:cs="Arial"/>
        </w:rPr>
        <w:t xml:space="preserve"> 2007; 46:1198-207</w:t>
      </w:r>
    </w:p>
    <w:p w14:paraId="52EB9FE9" w14:textId="6D92D372" w:rsidR="0064791B" w:rsidRPr="005F2054" w:rsidRDefault="0064791B" w:rsidP="005F2054">
      <w:pPr>
        <w:spacing w:after="0"/>
        <w:ind w:left="576" w:hanging="576"/>
        <w:rPr>
          <w:rFonts w:ascii="Arial" w:hAnsi="Arial" w:cs="Arial"/>
          <w:lang w:val="en-US"/>
        </w:rPr>
      </w:pPr>
      <w:r w:rsidRPr="005F2054">
        <w:rPr>
          <w:rFonts w:ascii="Arial" w:hAnsi="Arial" w:cs="Arial"/>
        </w:rPr>
        <w:t>61.</w:t>
      </w:r>
      <w:r w:rsidR="00B21D70">
        <w:rPr>
          <w:rFonts w:ascii="Arial" w:hAnsi="Arial" w:cs="Arial"/>
        </w:rPr>
        <w:t xml:space="preserve">   </w:t>
      </w:r>
      <w:r w:rsidRPr="005F2054">
        <w:rPr>
          <w:rFonts w:ascii="Arial" w:hAnsi="Arial" w:cs="Arial"/>
        </w:rPr>
        <w:t xml:space="preserve"> </w:t>
      </w:r>
      <w:proofErr w:type="spellStart"/>
      <w:r w:rsidRPr="005F2054">
        <w:rPr>
          <w:rFonts w:ascii="Arial" w:hAnsi="Arial" w:cs="Arial"/>
        </w:rPr>
        <w:t>Monegal</w:t>
      </w:r>
      <w:proofErr w:type="spellEnd"/>
      <w:r w:rsidRPr="005F2054">
        <w:rPr>
          <w:rFonts w:ascii="Arial" w:hAnsi="Arial" w:cs="Arial"/>
        </w:rPr>
        <w:t xml:space="preserve"> A, </w:t>
      </w:r>
      <w:proofErr w:type="spellStart"/>
      <w:r w:rsidRPr="005F2054">
        <w:rPr>
          <w:rFonts w:ascii="Arial" w:hAnsi="Arial" w:cs="Arial"/>
        </w:rPr>
        <w:t>Navasa</w:t>
      </w:r>
      <w:proofErr w:type="spellEnd"/>
      <w:r w:rsidRPr="005F2054">
        <w:rPr>
          <w:rFonts w:ascii="Arial" w:hAnsi="Arial" w:cs="Arial"/>
        </w:rPr>
        <w:t xml:space="preserve"> M, </w:t>
      </w:r>
      <w:proofErr w:type="spellStart"/>
      <w:r w:rsidRPr="005F2054">
        <w:rPr>
          <w:rFonts w:ascii="Arial" w:hAnsi="Arial" w:cs="Arial"/>
        </w:rPr>
        <w:t>Guañabens</w:t>
      </w:r>
      <w:proofErr w:type="spellEnd"/>
      <w:r w:rsidRPr="005F2054">
        <w:rPr>
          <w:rFonts w:ascii="Arial" w:hAnsi="Arial" w:cs="Arial"/>
        </w:rPr>
        <w:t xml:space="preserve"> N, Peris P, Pons F, </w:t>
      </w:r>
      <w:proofErr w:type="spellStart"/>
      <w:r w:rsidRPr="005F2054">
        <w:rPr>
          <w:rFonts w:ascii="Arial" w:hAnsi="Arial" w:cs="Arial"/>
        </w:rPr>
        <w:t>Martinez</w:t>
      </w:r>
      <w:proofErr w:type="spellEnd"/>
      <w:r w:rsidRPr="005F2054">
        <w:rPr>
          <w:rFonts w:ascii="Arial" w:hAnsi="Arial" w:cs="Arial"/>
        </w:rPr>
        <w:t xml:space="preserve"> de Osaba MJ</w:t>
      </w:r>
      <w:r w:rsidR="00B04C36" w:rsidRPr="005F2054">
        <w:rPr>
          <w:rFonts w:ascii="Arial" w:hAnsi="Arial" w:cs="Arial"/>
        </w:rPr>
        <w:t xml:space="preserve">, </w:t>
      </w:r>
      <w:proofErr w:type="spellStart"/>
      <w:r w:rsidR="00B04C36" w:rsidRPr="005F2054">
        <w:rPr>
          <w:rFonts w:ascii="Arial" w:hAnsi="Arial" w:cs="Arial"/>
        </w:rPr>
        <w:t>Rimola</w:t>
      </w:r>
      <w:proofErr w:type="spellEnd"/>
      <w:r w:rsidR="00B04C36" w:rsidRPr="005F2054">
        <w:rPr>
          <w:rFonts w:ascii="Arial" w:hAnsi="Arial" w:cs="Arial"/>
        </w:rPr>
        <w:t xml:space="preserve"> MI, </w:t>
      </w:r>
      <w:proofErr w:type="spellStart"/>
      <w:r w:rsidR="00B04C36" w:rsidRPr="005F2054">
        <w:rPr>
          <w:rFonts w:ascii="Arial" w:hAnsi="Arial" w:cs="Arial"/>
        </w:rPr>
        <w:t>Rodes</w:t>
      </w:r>
      <w:proofErr w:type="spellEnd"/>
      <w:r w:rsidR="00B04C36" w:rsidRPr="005F2054">
        <w:rPr>
          <w:rFonts w:ascii="Arial" w:hAnsi="Arial" w:cs="Arial"/>
        </w:rPr>
        <w:t xml:space="preserve"> A, Muñoz </w:t>
      </w:r>
      <w:proofErr w:type="spellStart"/>
      <w:r w:rsidR="00B04C36" w:rsidRPr="005F2054">
        <w:rPr>
          <w:rFonts w:ascii="Arial" w:hAnsi="Arial" w:cs="Arial"/>
        </w:rPr>
        <w:t>Gomez</w:t>
      </w:r>
      <w:proofErr w:type="spellEnd"/>
      <w:r w:rsidR="00B04C36" w:rsidRPr="005F2054">
        <w:rPr>
          <w:rFonts w:ascii="Arial" w:hAnsi="Arial" w:cs="Arial"/>
        </w:rPr>
        <w:t xml:space="preserve"> J. </w:t>
      </w:r>
      <w:r w:rsidRPr="005F2054">
        <w:rPr>
          <w:rFonts w:ascii="Arial" w:hAnsi="Arial" w:cs="Arial"/>
        </w:rPr>
        <w:t xml:space="preserve"> </w:t>
      </w:r>
      <w:r w:rsidRPr="005F2054">
        <w:rPr>
          <w:rFonts w:ascii="Arial" w:hAnsi="Arial" w:cs="Arial"/>
          <w:lang w:val="en-US"/>
        </w:rPr>
        <w:t xml:space="preserve">Bone mass and mineral metabolism </w:t>
      </w:r>
      <w:proofErr w:type="gramStart"/>
      <w:r w:rsidRPr="005F2054">
        <w:rPr>
          <w:rFonts w:ascii="Arial" w:hAnsi="Arial" w:cs="Arial"/>
          <w:lang w:val="en-US"/>
        </w:rPr>
        <w:t>inn</w:t>
      </w:r>
      <w:proofErr w:type="gramEnd"/>
      <w:r w:rsidRPr="005F2054">
        <w:rPr>
          <w:rFonts w:ascii="Arial" w:hAnsi="Arial" w:cs="Arial"/>
          <w:lang w:val="en-US"/>
        </w:rPr>
        <w:t xml:space="preserve"> liver transplant patients treated with FK506 or cyclosporine A. </w:t>
      </w:r>
      <w:proofErr w:type="spellStart"/>
      <w:r w:rsidRPr="005F2054">
        <w:rPr>
          <w:rFonts w:ascii="Arial" w:hAnsi="Arial" w:cs="Arial"/>
          <w:lang w:val="en-US"/>
        </w:rPr>
        <w:t>Calcif</w:t>
      </w:r>
      <w:proofErr w:type="spellEnd"/>
      <w:r w:rsidRPr="005F2054">
        <w:rPr>
          <w:rFonts w:ascii="Arial" w:hAnsi="Arial" w:cs="Arial"/>
          <w:lang w:val="en-US"/>
        </w:rPr>
        <w:t xml:space="preserve"> Tissue Int </w:t>
      </w:r>
      <w:r w:rsidR="006A1A5E" w:rsidRPr="005F2054">
        <w:rPr>
          <w:rFonts w:ascii="Arial" w:hAnsi="Arial" w:cs="Arial"/>
          <w:lang w:val="en-US"/>
        </w:rPr>
        <w:t>2001; 68:83</w:t>
      </w:r>
      <w:r w:rsidRPr="005F2054">
        <w:rPr>
          <w:rFonts w:ascii="Arial" w:hAnsi="Arial" w:cs="Arial"/>
          <w:lang w:val="en-US"/>
        </w:rPr>
        <w:t>-</w:t>
      </w:r>
      <w:r w:rsidR="00873807" w:rsidRPr="005F2054">
        <w:rPr>
          <w:rFonts w:ascii="Arial" w:hAnsi="Arial" w:cs="Arial"/>
          <w:lang w:val="en-US"/>
        </w:rPr>
        <w:t>8</w:t>
      </w:r>
      <w:r w:rsidRPr="005F2054">
        <w:rPr>
          <w:rFonts w:ascii="Arial" w:hAnsi="Arial" w:cs="Arial"/>
          <w:lang w:val="en-US"/>
        </w:rPr>
        <w:t>6</w:t>
      </w:r>
    </w:p>
    <w:p w14:paraId="3462846A" w14:textId="3ED8CDF8" w:rsidR="0064791B" w:rsidRPr="005F2054" w:rsidRDefault="0064791B" w:rsidP="005F2054">
      <w:pPr>
        <w:spacing w:after="0"/>
        <w:ind w:left="576" w:hanging="576"/>
        <w:rPr>
          <w:rFonts w:ascii="Arial" w:hAnsi="Arial" w:cs="Arial"/>
          <w:lang w:val="en-US"/>
        </w:rPr>
      </w:pPr>
      <w:r w:rsidRPr="005F2054">
        <w:rPr>
          <w:rFonts w:ascii="Arial" w:hAnsi="Arial" w:cs="Arial"/>
          <w:lang w:val="en-US"/>
        </w:rPr>
        <w:t>62.</w:t>
      </w:r>
      <w:r w:rsidR="00B21D70">
        <w:rPr>
          <w:rFonts w:ascii="Arial" w:hAnsi="Arial" w:cs="Arial"/>
          <w:lang w:val="en-US"/>
        </w:rPr>
        <w:t xml:space="preserve">   </w:t>
      </w:r>
      <w:r w:rsidRPr="005F2054">
        <w:rPr>
          <w:rFonts w:ascii="Arial" w:hAnsi="Arial" w:cs="Arial"/>
          <w:lang w:val="en-US"/>
        </w:rPr>
        <w:t xml:space="preserve"> </w:t>
      </w:r>
      <w:proofErr w:type="spellStart"/>
      <w:r w:rsidRPr="005F2054">
        <w:rPr>
          <w:rFonts w:ascii="Arial" w:hAnsi="Arial" w:cs="Arial"/>
          <w:lang w:val="en-US"/>
        </w:rPr>
        <w:t>Campistol</w:t>
      </w:r>
      <w:proofErr w:type="spellEnd"/>
      <w:r w:rsidRPr="005F2054">
        <w:rPr>
          <w:rFonts w:ascii="Arial" w:hAnsi="Arial" w:cs="Arial"/>
          <w:lang w:val="en-US"/>
        </w:rPr>
        <w:t xml:space="preserve"> JM, Holt DW, Epstein S. Bone metabolism in renal transplant patients treated with cyclosporine or sirolimus. Transplant Int 2005; 18:1028-35</w:t>
      </w:r>
    </w:p>
    <w:p w14:paraId="427E9705" w14:textId="5129AFE6" w:rsidR="0064791B" w:rsidRPr="005F2054" w:rsidRDefault="0064791B" w:rsidP="005F2054">
      <w:pPr>
        <w:spacing w:after="0"/>
        <w:ind w:left="576" w:hanging="576"/>
        <w:rPr>
          <w:rFonts w:ascii="Arial" w:hAnsi="Arial" w:cs="Arial"/>
          <w:lang w:val="en-US"/>
        </w:rPr>
      </w:pPr>
      <w:r w:rsidRPr="005F2054">
        <w:rPr>
          <w:rFonts w:ascii="Arial" w:hAnsi="Arial" w:cs="Arial"/>
          <w:lang w:val="en-US"/>
        </w:rPr>
        <w:lastRenderedPageBreak/>
        <w:t>63.</w:t>
      </w:r>
      <w:r w:rsidR="00B21D70">
        <w:rPr>
          <w:rFonts w:ascii="Arial" w:hAnsi="Arial" w:cs="Arial"/>
          <w:lang w:val="en-US"/>
        </w:rPr>
        <w:t xml:space="preserve">    </w:t>
      </w:r>
      <w:proofErr w:type="spellStart"/>
      <w:r w:rsidRPr="005F2054">
        <w:rPr>
          <w:rFonts w:ascii="Arial" w:hAnsi="Arial" w:cs="Arial"/>
          <w:lang w:val="en-US"/>
        </w:rPr>
        <w:t>Blaslov</w:t>
      </w:r>
      <w:proofErr w:type="spellEnd"/>
      <w:r w:rsidRPr="005F2054">
        <w:rPr>
          <w:rFonts w:ascii="Arial" w:hAnsi="Arial" w:cs="Arial"/>
          <w:lang w:val="en-US"/>
        </w:rPr>
        <w:t xml:space="preserve"> K, </w:t>
      </w:r>
      <w:proofErr w:type="spellStart"/>
      <w:r w:rsidRPr="005F2054">
        <w:rPr>
          <w:rFonts w:ascii="Arial" w:hAnsi="Arial" w:cs="Arial"/>
          <w:lang w:val="en-US"/>
        </w:rPr>
        <w:t>Katalinic</w:t>
      </w:r>
      <w:proofErr w:type="spellEnd"/>
      <w:r w:rsidRPr="005F2054">
        <w:rPr>
          <w:rFonts w:ascii="Arial" w:hAnsi="Arial" w:cs="Arial"/>
          <w:lang w:val="en-US"/>
        </w:rPr>
        <w:t xml:space="preserve"> L, Kes P, </w:t>
      </w:r>
      <w:proofErr w:type="spellStart"/>
      <w:r w:rsidRPr="005F2054">
        <w:rPr>
          <w:rFonts w:ascii="Arial" w:hAnsi="Arial" w:cs="Arial"/>
          <w:lang w:val="en-US"/>
        </w:rPr>
        <w:t>Spasovki</w:t>
      </w:r>
      <w:proofErr w:type="spellEnd"/>
      <w:r w:rsidRPr="005F2054">
        <w:rPr>
          <w:rFonts w:ascii="Arial" w:hAnsi="Arial" w:cs="Arial"/>
          <w:lang w:val="en-US"/>
        </w:rPr>
        <w:t xml:space="preserve"> G, </w:t>
      </w:r>
      <w:proofErr w:type="spellStart"/>
      <w:r w:rsidRPr="005F2054">
        <w:rPr>
          <w:rFonts w:ascii="Arial" w:hAnsi="Arial" w:cs="Arial"/>
          <w:lang w:val="en-US"/>
        </w:rPr>
        <w:t>Smalcelj</w:t>
      </w:r>
      <w:proofErr w:type="spellEnd"/>
      <w:r w:rsidRPr="005F2054">
        <w:rPr>
          <w:rFonts w:ascii="Arial" w:hAnsi="Arial" w:cs="Arial"/>
          <w:lang w:val="en-US"/>
        </w:rPr>
        <w:t xml:space="preserve"> R, Basic Jukic N. What is the impact of immunosuppressive treatment on the post-transplant renal osteopathy. Int </w:t>
      </w:r>
      <w:proofErr w:type="spellStart"/>
      <w:r w:rsidRPr="005F2054">
        <w:rPr>
          <w:rFonts w:ascii="Arial" w:hAnsi="Arial" w:cs="Arial"/>
          <w:lang w:val="en-US"/>
        </w:rPr>
        <w:t>Urol</w:t>
      </w:r>
      <w:proofErr w:type="spellEnd"/>
      <w:r w:rsidRPr="005F2054">
        <w:rPr>
          <w:rFonts w:ascii="Arial" w:hAnsi="Arial" w:cs="Arial"/>
          <w:lang w:val="en-US"/>
        </w:rPr>
        <w:t xml:space="preserve"> Nephrol 2014; 46:1019-24</w:t>
      </w:r>
    </w:p>
    <w:p w14:paraId="0D7483B8" w14:textId="23FA60AC" w:rsidR="0064791B" w:rsidRPr="005F2054" w:rsidRDefault="0064791B" w:rsidP="005F2054">
      <w:pPr>
        <w:spacing w:after="0"/>
        <w:ind w:left="576" w:hanging="576"/>
        <w:rPr>
          <w:rFonts w:ascii="Arial" w:hAnsi="Arial" w:cs="Arial"/>
          <w:lang w:val="en-US"/>
        </w:rPr>
      </w:pPr>
      <w:r w:rsidRPr="005F2054">
        <w:rPr>
          <w:rFonts w:ascii="Arial" w:hAnsi="Arial" w:cs="Arial"/>
          <w:lang w:val="en-US"/>
        </w:rPr>
        <w:t>64.</w:t>
      </w:r>
      <w:r w:rsidR="00B21D70">
        <w:rPr>
          <w:rFonts w:ascii="Arial" w:hAnsi="Arial" w:cs="Arial"/>
          <w:lang w:val="en-US"/>
        </w:rPr>
        <w:t xml:space="preserve">    </w:t>
      </w:r>
      <w:r w:rsidRPr="005F2054">
        <w:rPr>
          <w:rFonts w:ascii="Arial" w:hAnsi="Arial" w:cs="Arial"/>
          <w:lang w:val="en-US"/>
        </w:rPr>
        <w:t xml:space="preserve">Kelly PA, Gruber SA, </w:t>
      </w:r>
      <w:proofErr w:type="spellStart"/>
      <w:r w:rsidRPr="005F2054">
        <w:rPr>
          <w:rFonts w:ascii="Arial" w:hAnsi="Arial" w:cs="Arial"/>
          <w:lang w:val="en-US"/>
        </w:rPr>
        <w:t>Belbod</w:t>
      </w:r>
      <w:proofErr w:type="spellEnd"/>
      <w:r w:rsidRPr="005F2054">
        <w:rPr>
          <w:rFonts w:ascii="Arial" w:hAnsi="Arial" w:cs="Arial"/>
          <w:lang w:val="en-US"/>
        </w:rPr>
        <w:t xml:space="preserve"> F, Kahan BD. Sirolimus a new potent immunosuppressive agent. Pharmacotherapy 1997; 17:1148-56</w:t>
      </w:r>
    </w:p>
    <w:p w14:paraId="49EDE8B5" w14:textId="50A8CFF5" w:rsidR="0064791B" w:rsidRPr="005F2054" w:rsidRDefault="0064791B" w:rsidP="005F2054">
      <w:pPr>
        <w:spacing w:after="0"/>
        <w:ind w:left="576" w:hanging="576"/>
        <w:rPr>
          <w:rFonts w:ascii="Arial" w:hAnsi="Arial" w:cs="Arial"/>
          <w:lang w:val="en-US"/>
        </w:rPr>
      </w:pPr>
      <w:r w:rsidRPr="005F2054">
        <w:rPr>
          <w:rFonts w:ascii="Arial" w:hAnsi="Arial" w:cs="Arial"/>
          <w:lang w:val="en-US"/>
        </w:rPr>
        <w:t>65.</w:t>
      </w:r>
      <w:r w:rsidR="00B21D70">
        <w:rPr>
          <w:rFonts w:ascii="Arial" w:hAnsi="Arial" w:cs="Arial"/>
          <w:lang w:val="en-US"/>
        </w:rPr>
        <w:t xml:space="preserve">    </w:t>
      </w:r>
      <w:proofErr w:type="spellStart"/>
      <w:r w:rsidRPr="005F2054">
        <w:rPr>
          <w:rFonts w:ascii="Arial" w:hAnsi="Arial" w:cs="Arial"/>
          <w:lang w:val="en-US"/>
        </w:rPr>
        <w:t>Westenfeld</w:t>
      </w:r>
      <w:proofErr w:type="spellEnd"/>
      <w:r w:rsidRPr="005F2054">
        <w:rPr>
          <w:rFonts w:ascii="Arial" w:hAnsi="Arial" w:cs="Arial"/>
          <w:lang w:val="en-US"/>
        </w:rPr>
        <w:t xml:space="preserve"> T, Schlieper G, </w:t>
      </w:r>
      <w:proofErr w:type="spellStart"/>
      <w:r w:rsidRPr="005F2054">
        <w:rPr>
          <w:rFonts w:ascii="Arial" w:hAnsi="Arial" w:cs="Arial"/>
          <w:lang w:val="en-US"/>
        </w:rPr>
        <w:t>Woltje</w:t>
      </w:r>
      <w:proofErr w:type="spellEnd"/>
      <w:r w:rsidRPr="005F2054">
        <w:rPr>
          <w:rFonts w:ascii="Arial" w:hAnsi="Arial" w:cs="Arial"/>
          <w:lang w:val="en-US"/>
        </w:rPr>
        <w:t xml:space="preserve"> M, </w:t>
      </w:r>
      <w:proofErr w:type="spellStart"/>
      <w:r w:rsidRPr="005F2054">
        <w:rPr>
          <w:rFonts w:ascii="Arial" w:hAnsi="Arial" w:cs="Arial"/>
          <w:lang w:val="en-US"/>
        </w:rPr>
        <w:t>Gawilk</w:t>
      </w:r>
      <w:proofErr w:type="spellEnd"/>
      <w:r w:rsidRPr="005F2054">
        <w:rPr>
          <w:rFonts w:ascii="Arial" w:hAnsi="Arial" w:cs="Arial"/>
          <w:lang w:val="en-US"/>
        </w:rPr>
        <w:t xml:space="preserve"> A, Bandenburg V, Rutkowski P, </w:t>
      </w:r>
      <w:proofErr w:type="spellStart"/>
      <w:r w:rsidRPr="005F2054">
        <w:rPr>
          <w:rFonts w:ascii="Arial" w:hAnsi="Arial" w:cs="Arial"/>
          <w:lang w:val="en-US"/>
        </w:rPr>
        <w:t>Floege</w:t>
      </w:r>
      <w:proofErr w:type="spellEnd"/>
      <w:r w:rsidRPr="005F2054">
        <w:rPr>
          <w:rFonts w:ascii="Arial" w:hAnsi="Arial" w:cs="Arial"/>
          <w:lang w:val="en-US"/>
        </w:rPr>
        <w:t xml:space="preserve"> J, </w:t>
      </w:r>
      <w:proofErr w:type="spellStart"/>
      <w:r w:rsidRPr="005F2054">
        <w:rPr>
          <w:rFonts w:ascii="Arial" w:hAnsi="Arial" w:cs="Arial"/>
          <w:lang w:val="en-US"/>
        </w:rPr>
        <w:t>Jahnen-Decjemt</w:t>
      </w:r>
      <w:proofErr w:type="spellEnd"/>
      <w:r w:rsidRPr="005F2054">
        <w:rPr>
          <w:rFonts w:ascii="Arial" w:hAnsi="Arial" w:cs="Arial"/>
          <w:lang w:val="en-US"/>
        </w:rPr>
        <w:t xml:space="preserve"> W, Ketteler M. Impact of sirolimus, tacrolimus and mycophenolate mofetil on </w:t>
      </w:r>
      <w:proofErr w:type="spellStart"/>
      <w:r w:rsidR="0007547B" w:rsidRPr="005F2054">
        <w:rPr>
          <w:rFonts w:ascii="Arial" w:hAnsi="Arial" w:cs="Arial"/>
          <w:lang w:val="en-US"/>
        </w:rPr>
        <w:t>osteoclastogenesis</w:t>
      </w:r>
      <w:proofErr w:type="spellEnd"/>
      <w:r w:rsidRPr="005F2054">
        <w:rPr>
          <w:rFonts w:ascii="Arial" w:hAnsi="Arial" w:cs="Arial"/>
          <w:lang w:val="en-US"/>
        </w:rPr>
        <w:t xml:space="preserve"> -implications for post-transplantation bone disease. Nephrol Dial Transplant 2011:26:4115-23</w:t>
      </w:r>
    </w:p>
    <w:p w14:paraId="470550CE" w14:textId="53305C55" w:rsidR="0064791B" w:rsidRPr="005F2054" w:rsidRDefault="0064791B" w:rsidP="005F2054">
      <w:pPr>
        <w:spacing w:after="0"/>
        <w:ind w:left="576" w:hanging="576"/>
        <w:rPr>
          <w:rFonts w:ascii="Arial" w:hAnsi="Arial" w:cs="Arial"/>
          <w:lang w:val="en-US"/>
        </w:rPr>
      </w:pPr>
      <w:r w:rsidRPr="005F2054">
        <w:rPr>
          <w:rFonts w:ascii="Arial" w:hAnsi="Arial" w:cs="Arial"/>
          <w:lang w:val="en-US"/>
        </w:rPr>
        <w:t>66.</w:t>
      </w:r>
      <w:r w:rsidR="00B21D70">
        <w:rPr>
          <w:rFonts w:ascii="Arial" w:hAnsi="Arial" w:cs="Arial"/>
          <w:lang w:val="en-US"/>
        </w:rPr>
        <w:t xml:space="preserve">    </w:t>
      </w:r>
      <w:proofErr w:type="spellStart"/>
      <w:r w:rsidRPr="005F2054">
        <w:rPr>
          <w:rFonts w:ascii="Arial" w:hAnsi="Arial" w:cs="Arial"/>
          <w:lang w:val="en-US"/>
        </w:rPr>
        <w:t>Bouquegneau</w:t>
      </w:r>
      <w:proofErr w:type="spellEnd"/>
      <w:r w:rsidRPr="005F2054">
        <w:rPr>
          <w:rFonts w:ascii="Arial" w:hAnsi="Arial" w:cs="Arial"/>
          <w:lang w:val="en-US"/>
        </w:rPr>
        <w:t xml:space="preserve"> A, Salam S, </w:t>
      </w:r>
      <w:proofErr w:type="spellStart"/>
      <w:r w:rsidRPr="005F2054">
        <w:rPr>
          <w:rFonts w:ascii="Arial" w:hAnsi="Arial" w:cs="Arial"/>
          <w:lang w:val="en-US"/>
        </w:rPr>
        <w:t>Delanaye</w:t>
      </w:r>
      <w:proofErr w:type="spellEnd"/>
      <w:r w:rsidRPr="005F2054">
        <w:rPr>
          <w:rFonts w:ascii="Arial" w:hAnsi="Arial" w:cs="Arial"/>
          <w:lang w:val="en-US"/>
        </w:rPr>
        <w:t xml:space="preserve"> P, </w:t>
      </w:r>
      <w:proofErr w:type="spellStart"/>
      <w:r w:rsidRPr="005F2054">
        <w:rPr>
          <w:rFonts w:ascii="Arial" w:hAnsi="Arial" w:cs="Arial"/>
          <w:lang w:val="en-US"/>
        </w:rPr>
        <w:t>Eastell</w:t>
      </w:r>
      <w:proofErr w:type="spellEnd"/>
      <w:r w:rsidRPr="005F2054">
        <w:rPr>
          <w:rFonts w:ascii="Arial" w:hAnsi="Arial" w:cs="Arial"/>
          <w:lang w:val="en-US"/>
        </w:rPr>
        <w:t xml:space="preserve"> </w:t>
      </w:r>
      <w:r w:rsidR="00581A08" w:rsidRPr="005F2054">
        <w:rPr>
          <w:rFonts w:ascii="Arial" w:hAnsi="Arial" w:cs="Arial"/>
          <w:lang w:val="en-US"/>
        </w:rPr>
        <w:t>R</w:t>
      </w:r>
      <w:r w:rsidRPr="005F2054">
        <w:rPr>
          <w:rFonts w:ascii="Arial" w:hAnsi="Arial" w:cs="Arial"/>
          <w:lang w:val="en-US"/>
        </w:rPr>
        <w:t>, Khwaja A. Bone disease after kidney transplantation. Clin J Am Soc Nephrol 2016; 11:1282-96</w:t>
      </w:r>
    </w:p>
    <w:p w14:paraId="31F9BBA3" w14:textId="4298FB74" w:rsidR="0064791B" w:rsidRPr="005F2054" w:rsidRDefault="0064791B" w:rsidP="005F2054">
      <w:pPr>
        <w:spacing w:after="0"/>
        <w:ind w:left="576" w:hanging="576"/>
        <w:rPr>
          <w:rFonts w:ascii="Arial" w:hAnsi="Arial" w:cs="Arial"/>
          <w:lang w:val="en-US"/>
        </w:rPr>
      </w:pPr>
      <w:r w:rsidRPr="005F2054">
        <w:rPr>
          <w:rFonts w:ascii="Arial" w:hAnsi="Arial" w:cs="Arial"/>
          <w:lang w:val="en-US"/>
        </w:rPr>
        <w:t>67.</w:t>
      </w:r>
      <w:r w:rsidR="00B21D70">
        <w:rPr>
          <w:rFonts w:ascii="Arial" w:hAnsi="Arial" w:cs="Arial"/>
          <w:lang w:val="en-US"/>
        </w:rPr>
        <w:t xml:space="preserve">    </w:t>
      </w:r>
      <w:r w:rsidRPr="005F2054">
        <w:rPr>
          <w:rFonts w:ascii="Arial" w:hAnsi="Arial" w:cs="Arial"/>
          <w:lang w:val="en-US"/>
        </w:rPr>
        <w:t xml:space="preserve">Stein EM, Shane </w:t>
      </w:r>
      <w:r w:rsidR="00581A08" w:rsidRPr="005F2054">
        <w:rPr>
          <w:rFonts w:ascii="Arial" w:hAnsi="Arial" w:cs="Arial"/>
          <w:lang w:val="en-US"/>
        </w:rPr>
        <w:t>E</w:t>
      </w:r>
      <w:r w:rsidRPr="005F2054">
        <w:rPr>
          <w:rFonts w:ascii="Arial" w:hAnsi="Arial" w:cs="Arial"/>
          <w:lang w:val="en-US"/>
        </w:rPr>
        <w:t xml:space="preserve">. Vitamin </w:t>
      </w:r>
      <w:r w:rsidR="007D3EEB" w:rsidRPr="005F2054">
        <w:rPr>
          <w:rFonts w:ascii="Arial" w:hAnsi="Arial" w:cs="Arial"/>
          <w:lang w:val="en-US"/>
        </w:rPr>
        <w:t>D</w:t>
      </w:r>
      <w:r w:rsidRPr="005F2054">
        <w:rPr>
          <w:rFonts w:ascii="Arial" w:hAnsi="Arial" w:cs="Arial"/>
          <w:lang w:val="en-US"/>
        </w:rPr>
        <w:t xml:space="preserve"> in organ transplantation. </w:t>
      </w:r>
      <w:proofErr w:type="spellStart"/>
      <w:r w:rsidRPr="005F2054">
        <w:rPr>
          <w:rFonts w:ascii="Arial" w:hAnsi="Arial" w:cs="Arial"/>
          <w:lang w:val="en-US"/>
        </w:rPr>
        <w:t>Osteoporos</w:t>
      </w:r>
      <w:proofErr w:type="spellEnd"/>
      <w:r w:rsidRPr="005F2054">
        <w:rPr>
          <w:rFonts w:ascii="Arial" w:hAnsi="Arial" w:cs="Arial"/>
          <w:lang w:val="en-US"/>
        </w:rPr>
        <w:t xml:space="preserve"> Int 2011; 22:2107-2118</w:t>
      </w:r>
    </w:p>
    <w:p w14:paraId="675CF987" w14:textId="524EDF71" w:rsidR="00F94CFA" w:rsidRPr="005F2054" w:rsidRDefault="00F94CFA" w:rsidP="005F2054">
      <w:pPr>
        <w:spacing w:after="0"/>
        <w:ind w:left="576" w:hanging="576"/>
        <w:rPr>
          <w:rFonts w:ascii="Arial" w:hAnsi="Arial" w:cs="Arial"/>
          <w:lang w:val="en-US"/>
        </w:rPr>
      </w:pPr>
      <w:r w:rsidRPr="005F2054">
        <w:rPr>
          <w:rFonts w:ascii="Arial" w:hAnsi="Arial" w:cs="Arial"/>
          <w:lang w:val="en-US"/>
        </w:rPr>
        <w:t>68.</w:t>
      </w:r>
      <w:r w:rsidR="00B21D70">
        <w:rPr>
          <w:rFonts w:ascii="Arial" w:hAnsi="Arial" w:cs="Arial"/>
          <w:lang w:val="en-US"/>
        </w:rPr>
        <w:t xml:space="preserve">   </w:t>
      </w:r>
      <w:r w:rsidRPr="005F2054">
        <w:rPr>
          <w:rFonts w:ascii="Arial" w:hAnsi="Arial" w:cs="Arial"/>
          <w:lang w:val="en-US"/>
        </w:rPr>
        <w:t xml:space="preserve"> Edwards, M.; Jameson, K.; Denison, H.; Harvey, N.; Sayer, A.A.; Dennison, E.; Cooper, C. Clinical risk factors, bone density and fall history in the prediction of incident fracture among men and women. Bone 2013, 52, 541–547.</w:t>
      </w:r>
    </w:p>
    <w:p w14:paraId="1B90A19A" w14:textId="05508467" w:rsidR="00F94CFA" w:rsidRPr="005F2054" w:rsidRDefault="00470A03" w:rsidP="005F2054">
      <w:pPr>
        <w:spacing w:after="0"/>
        <w:ind w:left="576" w:hanging="576"/>
        <w:rPr>
          <w:rFonts w:ascii="Arial" w:hAnsi="Arial" w:cs="Arial"/>
          <w:lang w:val="en-US"/>
        </w:rPr>
      </w:pPr>
      <w:r w:rsidRPr="005F2054">
        <w:rPr>
          <w:rFonts w:ascii="Arial" w:hAnsi="Arial" w:cs="Arial"/>
          <w:lang w:val="en-US"/>
        </w:rPr>
        <w:t>69.</w:t>
      </w:r>
      <w:r w:rsidR="00B21D70">
        <w:rPr>
          <w:rFonts w:ascii="Arial" w:hAnsi="Arial" w:cs="Arial"/>
          <w:lang w:val="en-US"/>
        </w:rPr>
        <w:t xml:space="preserve">   </w:t>
      </w:r>
      <w:r w:rsidRPr="005F2054">
        <w:rPr>
          <w:rFonts w:ascii="Arial" w:hAnsi="Arial" w:cs="Arial"/>
          <w:lang w:val="en-US"/>
        </w:rPr>
        <w:t xml:space="preserve"> Arceo-Mendoza RM, Camacho PM. Postmenopausal Osteoporosis: Latest Guidelines. Endocrinol </w:t>
      </w:r>
      <w:proofErr w:type="spellStart"/>
      <w:r w:rsidRPr="005F2054">
        <w:rPr>
          <w:rFonts w:ascii="Arial" w:hAnsi="Arial" w:cs="Arial"/>
          <w:lang w:val="en-US"/>
        </w:rPr>
        <w:t>Metab</w:t>
      </w:r>
      <w:proofErr w:type="spellEnd"/>
      <w:r w:rsidRPr="005F2054">
        <w:rPr>
          <w:rFonts w:ascii="Arial" w:hAnsi="Arial" w:cs="Arial"/>
          <w:lang w:val="en-US"/>
        </w:rPr>
        <w:t xml:space="preserve"> Clin North Am. 2021</w:t>
      </w:r>
      <w:r w:rsidR="00910B3C" w:rsidRPr="005F2054">
        <w:rPr>
          <w:rFonts w:ascii="Arial" w:hAnsi="Arial" w:cs="Arial"/>
          <w:lang w:val="en-US"/>
        </w:rPr>
        <w:t>;</w:t>
      </w:r>
      <w:r w:rsidRPr="005F2054">
        <w:rPr>
          <w:rFonts w:ascii="Arial" w:hAnsi="Arial" w:cs="Arial"/>
          <w:lang w:val="en-US"/>
        </w:rPr>
        <w:t>50(2):167-178.</w:t>
      </w:r>
    </w:p>
    <w:p w14:paraId="54A03D05" w14:textId="1785DDED" w:rsidR="0064791B" w:rsidRPr="005F2054" w:rsidRDefault="00470A03" w:rsidP="005F2054">
      <w:pPr>
        <w:spacing w:after="0"/>
        <w:ind w:left="576" w:hanging="576"/>
        <w:rPr>
          <w:rFonts w:ascii="Arial" w:hAnsi="Arial" w:cs="Arial"/>
          <w:lang w:val="en-US"/>
        </w:rPr>
      </w:pPr>
      <w:r w:rsidRPr="005F2054">
        <w:rPr>
          <w:rFonts w:ascii="Arial" w:hAnsi="Arial" w:cs="Arial"/>
          <w:lang w:val="en-US"/>
        </w:rPr>
        <w:t>70.</w:t>
      </w:r>
      <w:r w:rsidR="00B21D70">
        <w:rPr>
          <w:rFonts w:ascii="Arial" w:hAnsi="Arial" w:cs="Arial"/>
          <w:lang w:val="en-US"/>
        </w:rPr>
        <w:t xml:space="preserve">   </w:t>
      </w:r>
      <w:r w:rsidRPr="005F2054">
        <w:rPr>
          <w:rFonts w:ascii="Arial" w:hAnsi="Arial" w:cs="Arial"/>
          <w:lang w:val="en-US"/>
        </w:rPr>
        <w:t xml:space="preserve"> Jørgensen HS, Winther S, Bøttcher M, Hauge EM, Rejnmark L, Svensson M, Ivarsen P. Bone turnover markers are associated with bone density, but not with fracture in end stage kidney disease: a cross-sectional study. BMC Nephrol. 2017</w:t>
      </w:r>
      <w:r w:rsidR="00910B3C" w:rsidRPr="005F2054">
        <w:rPr>
          <w:rFonts w:ascii="Arial" w:hAnsi="Arial" w:cs="Arial"/>
          <w:lang w:val="en-US"/>
        </w:rPr>
        <w:t>;</w:t>
      </w:r>
      <w:r w:rsidRPr="005F2054">
        <w:rPr>
          <w:rFonts w:ascii="Arial" w:hAnsi="Arial" w:cs="Arial"/>
          <w:lang w:val="en-US"/>
        </w:rPr>
        <w:t>6;18(1):284.</w:t>
      </w:r>
      <w:r w:rsidR="00873807" w:rsidRPr="005F2054">
        <w:rPr>
          <w:rFonts w:ascii="Arial" w:eastAsia="Times New Roman" w:hAnsi="Arial" w:cs="Arial"/>
          <w:color w:val="5B616B"/>
          <w:lang w:val="en-US" w:eastAsia="es-ES"/>
        </w:rPr>
        <w:t xml:space="preserve"> </w:t>
      </w:r>
    </w:p>
    <w:p w14:paraId="262A3BDE" w14:textId="5E5EE455" w:rsidR="00886D71" w:rsidRPr="005F2054" w:rsidRDefault="00C613DF" w:rsidP="005F2054">
      <w:pPr>
        <w:spacing w:after="0"/>
        <w:ind w:left="576" w:hanging="576"/>
        <w:rPr>
          <w:rFonts w:ascii="Arial" w:hAnsi="Arial" w:cs="Arial"/>
          <w:lang w:val="en-US"/>
        </w:rPr>
      </w:pPr>
      <w:r w:rsidRPr="005F2054">
        <w:rPr>
          <w:rFonts w:ascii="Arial" w:hAnsi="Arial" w:cs="Arial"/>
          <w:lang w:val="en-US"/>
        </w:rPr>
        <w:t>71.</w:t>
      </w:r>
      <w:r w:rsidR="00B21D70">
        <w:rPr>
          <w:rFonts w:ascii="Arial" w:hAnsi="Arial" w:cs="Arial"/>
          <w:lang w:val="en-US"/>
        </w:rPr>
        <w:t xml:space="preserve">   </w:t>
      </w:r>
      <w:r w:rsidR="005C1724" w:rsidRPr="005F2054">
        <w:rPr>
          <w:rFonts w:ascii="Arial" w:hAnsi="Arial" w:cs="Arial"/>
          <w:lang w:val="en-US"/>
        </w:rPr>
        <w:t xml:space="preserve"> </w:t>
      </w:r>
      <w:proofErr w:type="spellStart"/>
      <w:r w:rsidR="005C1724" w:rsidRPr="005F2054">
        <w:rPr>
          <w:rFonts w:ascii="Arial" w:hAnsi="Arial" w:cs="Arial"/>
          <w:lang w:val="en-US"/>
        </w:rPr>
        <w:t>Gerdhem</w:t>
      </w:r>
      <w:proofErr w:type="spellEnd"/>
      <w:r w:rsidR="005C1724" w:rsidRPr="005F2054">
        <w:rPr>
          <w:rFonts w:ascii="Arial" w:hAnsi="Arial" w:cs="Arial"/>
          <w:lang w:val="en-US"/>
        </w:rPr>
        <w:t xml:space="preserve"> P. Osteoporosis and fragility fractures: Vertebral fractures. Best </w:t>
      </w:r>
      <w:proofErr w:type="spellStart"/>
      <w:r w:rsidR="005C1724" w:rsidRPr="005F2054">
        <w:rPr>
          <w:rFonts w:ascii="Arial" w:hAnsi="Arial" w:cs="Arial"/>
          <w:lang w:val="en-US"/>
        </w:rPr>
        <w:t>Pract</w:t>
      </w:r>
      <w:proofErr w:type="spellEnd"/>
      <w:r w:rsidR="005C1724" w:rsidRPr="005F2054">
        <w:rPr>
          <w:rFonts w:ascii="Arial" w:hAnsi="Arial" w:cs="Arial"/>
          <w:lang w:val="en-US"/>
        </w:rPr>
        <w:t xml:space="preserve"> Res Clin </w:t>
      </w:r>
      <w:proofErr w:type="spellStart"/>
      <w:r w:rsidR="005C1724" w:rsidRPr="005F2054">
        <w:rPr>
          <w:rFonts w:ascii="Arial" w:hAnsi="Arial" w:cs="Arial"/>
          <w:lang w:val="en-US"/>
        </w:rPr>
        <w:t>Rheumatol</w:t>
      </w:r>
      <w:proofErr w:type="spellEnd"/>
      <w:r w:rsidR="005C1724" w:rsidRPr="005F2054">
        <w:rPr>
          <w:rFonts w:ascii="Arial" w:hAnsi="Arial" w:cs="Arial"/>
          <w:lang w:val="en-US"/>
        </w:rPr>
        <w:t>. 2013;27(6):743-55.</w:t>
      </w:r>
    </w:p>
    <w:p w14:paraId="23F52DD4" w14:textId="74BC38AD" w:rsidR="00886D71" w:rsidRPr="005F2054" w:rsidRDefault="00886D71" w:rsidP="005F2054">
      <w:pPr>
        <w:spacing w:after="0"/>
        <w:ind w:left="576" w:hanging="576"/>
        <w:rPr>
          <w:rFonts w:ascii="Arial" w:hAnsi="Arial" w:cs="Arial"/>
          <w:lang w:val="en-US"/>
        </w:rPr>
      </w:pPr>
      <w:r w:rsidRPr="005F2054">
        <w:rPr>
          <w:rFonts w:ascii="Arial" w:hAnsi="Arial" w:cs="Arial"/>
          <w:lang w:val="en-US"/>
        </w:rPr>
        <w:t>72.</w:t>
      </w:r>
      <w:r w:rsidR="00B21D70">
        <w:rPr>
          <w:rFonts w:ascii="Arial" w:hAnsi="Arial" w:cs="Arial"/>
          <w:lang w:val="en-US"/>
        </w:rPr>
        <w:t xml:space="preserve">   </w:t>
      </w:r>
      <w:r w:rsidR="005C1724" w:rsidRPr="005F2054">
        <w:rPr>
          <w:rFonts w:ascii="Arial" w:hAnsi="Arial" w:cs="Arial"/>
          <w:lang w:val="en-US"/>
        </w:rPr>
        <w:t xml:space="preserve"> </w:t>
      </w:r>
      <w:r w:rsidRPr="005F2054">
        <w:rPr>
          <w:rFonts w:ascii="Arial" w:hAnsi="Arial" w:cs="Arial"/>
          <w:lang w:val="en-US"/>
        </w:rPr>
        <w:t xml:space="preserve">Lakey WC, Spratt S, Vinson EN, </w:t>
      </w:r>
      <w:proofErr w:type="spellStart"/>
      <w:r w:rsidRPr="005F2054">
        <w:rPr>
          <w:rFonts w:ascii="Arial" w:hAnsi="Arial" w:cs="Arial"/>
          <w:lang w:val="en-US"/>
        </w:rPr>
        <w:t>Gesty</w:t>
      </w:r>
      <w:proofErr w:type="spellEnd"/>
      <w:r w:rsidRPr="005F2054">
        <w:rPr>
          <w:rFonts w:ascii="Arial" w:hAnsi="Arial" w:cs="Arial"/>
          <w:lang w:val="en-US"/>
        </w:rPr>
        <w:t>-Palmer D, Weber T, Palmer S. Osteoporosis in lung transplant candidates compared to matched healthy controls. Clin Transplant. 2011; 25(3):426-35</w:t>
      </w:r>
    </w:p>
    <w:p w14:paraId="4D0F9808" w14:textId="71AFEB00" w:rsidR="005C1086" w:rsidRPr="005F2054" w:rsidRDefault="005C1086" w:rsidP="005F2054">
      <w:pPr>
        <w:spacing w:after="0"/>
        <w:ind w:left="576" w:hanging="576"/>
        <w:rPr>
          <w:rFonts w:ascii="Arial" w:hAnsi="Arial" w:cs="Arial"/>
          <w:lang w:val="en-US"/>
        </w:rPr>
      </w:pPr>
      <w:r w:rsidRPr="005F2054">
        <w:rPr>
          <w:rFonts w:ascii="Arial" w:hAnsi="Arial" w:cs="Arial"/>
          <w:lang w:val="en-US"/>
        </w:rPr>
        <w:t>7</w:t>
      </w:r>
      <w:r w:rsidR="00886D71" w:rsidRPr="005F2054">
        <w:rPr>
          <w:rFonts w:ascii="Arial" w:hAnsi="Arial" w:cs="Arial"/>
          <w:lang w:val="en-US"/>
        </w:rPr>
        <w:t>3</w:t>
      </w:r>
      <w:r w:rsidRPr="005F2054">
        <w:rPr>
          <w:rFonts w:ascii="Arial" w:hAnsi="Arial" w:cs="Arial"/>
          <w:lang w:val="en-US"/>
        </w:rPr>
        <w:t>.</w:t>
      </w:r>
      <w:r w:rsidR="00B21D70">
        <w:rPr>
          <w:rFonts w:ascii="Arial" w:hAnsi="Arial" w:cs="Arial"/>
          <w:lang w:val="en-US"/>
        </w:rPr>
        <w:t xml:space="preserve">   </w:t>
      </w:r>
      <w:r w:rsidRPr="005F2054">
        <w:rPr>
          <w:rFonts w:ascii="Arial" w:hAnsi="Arial" w:cs="Arial"/>
          <w:lang w:val="en-US"/>
        </w:rPr>
        <w:t xml:space="preserve"> West, C.E. Lok, L. </w:t>
      </w:r>
      <w:proofErr w:type="spellStart"/>
      <w:r w:rsidRPr="005F2054">
        <w:rPr>
          <w:rFonts w:ascii="Arial" w:hAnsi="Arial" w:cs="Arial"/>
          <w:lang w:val="en-US"/>
        </w:rPr>
        <w:t>Langsetmo</w:t>
      </w:r>
      <w:proofErr w:type="spellEnd"/>
      <w:r w:rsidRPr="005F2054">
        <w:rPr>
          <w:rFonts w:ascii="Arial" w:hAnsi="Arial" w:cs="Arial"/>
          <w:lang w:val="en-US"/>
        </w:rPr>
        <w:t xml:space="preserve">, A.M. Cheung, E. Szabo, D. Pearce, M. Fusaro, R. Wald, J. Weinstein, S.A. Jamal, Bone mineral density predicts fractures in chronic kidney disease, J. Bone Miner. Res. 30 (5) (2015) 913–919. </w:t>
      </w:r>
    </w:p>
    <w:p w14:paraId="6A484784" w14:textId="4DF5FE51" w:rsidR="005C1086" w:rsidRPr="005F2054" w:rsidRDefault="005C1086" w:rsidP="005F2054">
      <w:pPr>
        <w:spacing w:after="0"/>
        <w:ind w:left="576" w:hanging="576"/>
        <w:rPr>
          <w:rFonts w:ascii="Arial" w:hAnsi="Arial" w:cs="Arial"/>
          <w:lang w:val="en-US"/>
        </w:rPr>
      </w:pPr>
      <w:r w:rsidRPr="005F2054">
        <w:rPr>
          <w:rFonts w:ascii="Arial" w:hAnsi="Arial" w:cs="Arial"/>
          <w:lang w:val="en-US"/>
        </w:rPr>
        <w:t>7</w:t>
      </w:r>
      <w:r w:rsidR="00886D71" w:rsidRPr="005F2054">
        <w:rPr>
          <w:rFonts w:ascii="Arial" w:hAnsi="Arial" w:cs="Arial"/>
          <w:lang w:val="en-US"/>
        </w:rPr>
        <w:t>4</w:t>
      </w:r>
      <w:r w:rsidRPr="005F2054">
        <w:rPr>
          <w:rFonts w:ascii="Arial" w:hAnsi="Arial" w:cs="Arial"/>
          <w:lang w:val="en-US"/>
        </w:rPr>
        <w:t>.</w:t>
      </w:r>
      <w:r w:rsidR="00B21D70">
        <w:rPr>
          <w:rFonts w:ascii="Arial" w:hAnsi="Arial" w:cs="Arial"/>
          <w:lang w:val="en-US"/>
        </w:rPr>
        <w:t xml:space="preserve">    </w:t>
      </w:r>
      <w:r w:rsidRPr="005F2054">
        <w:rPr>
          <w:rFonts w:ascii="Arial" w:hAnsi="Arial" w:cs="Arial"/>
          <w:lang w:val="en-US"/>
        </w:rPr>
        <w:t>Kanis, J.A. Assessment of Osteoporosis at the Primary Health Care Level; World Health Organization Collaborating Centre for Metabolic Bone Diseases, University of Sheffield: Sheffield, UK, 2007; Volume 339, pp. 11224</w:t>
      </w:r>
    </w:p>
    <w:p w14:paraId="71EC8045" w14:textId="45759226" w:rsidR="005C1086" w:rsidRPr="005F2054" w:rsidRDefault="005C1086" w:rsidP="005F2054">
      <w:pPr>
        <w:spacing w:after="0"/>
        <w:ind w:left="576" w:hanging="576"/>
        <w:rPr>
          <w:rFonts w:ascii="Arial" w:hAnsi="Arial" w:cs="Arial"/>
          <w:lang w:val="en-US"/>
        </w:rPr>
      </w:pPr>
      <w:r w:rsidRPr="005F2054">
        <w:rPr>
          <w:rFonts w:ascii="Arial" w:hAnsi="Arial" w:cs="Arial"/>
          <w:lang w:val="en-US"/>
        </w:rPr>
        <w:t>7</w:t>
      </w:r>
      <w:r w:rsidR="00886D71" w:rsidRPr="005F2054">
        <w:rPr>
          <w:rFonts w:ascii="Arial" w:hAnsi="Arial" w:cs="Arial"/>
          <w:lang w:val="en-US"/>
        </w:rPr>
        <w:t>5</w:t>
      </w:r>
      <w:r w:rsidRPr="005F2054">
        <w:rPr>
          <w:rFonts w:ascii="Arial" w:hAnsi="Arial" w:cs="Arial"/>
          <w:lang w:val="en-US"/>
        </w:rPr>
        <w:t>.</w:t>
      </w:r>
      <w:r w:rsidR="00B21D70">
        <w:rPr>
          <w:rFonts w:ascii="Arial" w:hAnsi="Arial" w:cs="Arial"/>
          <w:lang w:val="en-US"/>
        </w:rPr>
        <w:t xml:space="preserve">    </w:t>
      </w:r>
      <w:r w:rsidRPr="005F2054">
        <w:rPr>
          <w:rFonts w:ascii="Arial" w:hAnsi="Arial" w:cs="Arial"/>
          <w:lang w:val="en-US"/>
        </w:rPr>
        <w:t xml:space="preserve">Whitlock RH, Leslie WD, Shaw J, </w:t>
      </w:r>
      <w:proofErr w:type="spellStart"/>
      <w:r w:rsidRPr="005F2054">
        <w:rPr>
          <w:rFonts w:ascii="Arial" w:hAnsi="Arial" w:cs="Arial"/>
          <w:lang w:val="en-US"/>
        </w:rPr>
        <w:t>Rigatto</w:t>
      </w:r>
      <w:proofErr w:type="spellEnd"/>
      <w:r w:rsidRPr="005F2054">
        <w:rPr>
          <w:rFonts w:ascii="Arial" w:hAnsi="Arial" w:cs="Arial"/>
          <w:lang w:val="en-US"/>
        </w:rPr>
        <w:t xml:space="preserve"> C, Thorlacius L, Komenda P, Collister D, Kanis JA, Tangri N. The Fracture Risk Assessment Tool (FRAX®) predicts fracture risk in patients with chronic kidney disease. Kidney Int. 2019;95(2):447-454. </w:t>
      </w:r>
    </w:p>
    <w:p w14:paraId="22F36B65" w14:textId="69405A80" w:rsidR="005A408C" w:rsidRPr="005F2054" w:rsidRDefault="005A408C" w:rsidP="005F2054">
      <w:pPr>
        <w:spacing w:after="0"/>
        <w:ind w:left="576" w:hanging="576"/>
        <w:rPr>
          <w:rFonts w:ascii="Arial" w:hAnsi="Arial" w:cs="Arial"/>
          <w:lang w:val="en-US"/>
        </w:rPr>
      </w:pPr>
      <w:r w:rsidRPr="005F2054">
        <w:rPr>
          <w:rFonts w:ascii="Arial" w:hAnsi="Arial" w:cs="Arial"/>
          <w:lang w:val="en-US"/>
        </w:rPr>
        <w:t>76.</w:t>
      </w:r>
      <w:r w:rsidR="00B21D70">
        <w:rPr>
          <w:rFonts w:ascii="Arial" w:hAnsi="Arial" w:cs="Arial"/>
          <w:lang w:val="en-US"/>
        </w:rPr>
        <w:t xml:space="preserve">   </w:t>
      </w:r>
      <w:r w:rsidRPr="005F2054">
        <w:rPr>
          <w:rFonts w:ascii="Arial" w:hAnsi="Arial" w:cs="Arial"/>
          <w:lang w:val="en-US"/>
        </w:rPr>
        <w:t xml:space="preserve"> </w:t>
      </w:r>
      <w:proofErr w:type="spellStart"/>
      <w:r w:rsidRPr="005F2054">
        <w:rPr>
          <w:rFonts w:ascii="Arial" w:hAnsi="Arial" w:cs="Arial"/>
          <w:lang w:val="en-US"/>
        </w:rPr>
        <w:t>Pothuaud</w:t>
      </w:r>
      <w:proofErr w:type="spellEnd"/>
      <w:r w:rsidRPr="005F2054">
        <w:rPr>
          <w:rFonts w:ascii="Arial" w:hAnsi="Arial" w:cs="Arial"/>
          <w:lang w:val="en-US"/>
        </w:rPr>
        <w:t xml:space="preserve"> L, Barthe N, Krieg MA, </w:t>
      </w:r>
      <w:proofErr w:type="spellStart"/>
      <w:r w:rsidRPr="005F2054">
        <w:rPr>
          <w:rFonts w:ascii="Arial" w:hAnsi="Arial" w:cs="Arial"/>
          <w:lang w:val="en-US"/>
        </w:rPr>
        <w:t>Mehsen</w:t>
      </w:r>
      <w:proofErr w:type="spellEnd"/>
      <w:r w:rsidRPr="005F2054">
        <w:rPr>
          <w:rFonts w:ascii="Arial" w:hAnsi="Arial" w:cs="Arial"/>
          <w:lang w:val="en-US"/>
        </w:rPr>
        <w:t xml:space="preserve"> N, </w:t>
      </w:r>
      <w:proofErr w:type="spellStart"/>
      <w:r w:rsidRPr="005F2054">
        <w:rPr>
          <w:rFonts w:ascii="Arial" w:hAnsi="Arial" w:cs="Arial"/>
          <w:lang w:val="en-US"/>
        </w:rPr>
        <w:t>Carceller</w:t>
      </w:r>
      <w:proofErr w:type="spellEnd"/>
      <w:r w:rsidRPr="005F2054">
        <w:rPr>
          <w:rFonts w:ascii="Arial" w:hAnsi="Arial" w:cs="Arial"/>
          <w:lang w:val="en-US"/>
        </w:rPr>
        <w:t xml:space="preserve"> P, Hans D. Evaluation of the potential use of trabecular bone score to complement bone mineral density in the diagnosis of osteoporosis: a preliminary spine BMD–matched, case-control study. J Clin </w:t>
      </w:r>
      <w:proofErr w:type="spellStart"/>
      <w:r w:rsidRPr="005F2054">
        <w:rPr>
          <w:rFonts w:ascii="Arial" w:hAnsi="Arial" w:cs="Arial"/>
          <w:lang w:val="en-US"/>
        </w:rPr>
        <w:t>Densitom</w:t>
      </w:r>
      <w:proofErr w:type="spellEnd"/>
      <w:r w:rsidRPr="005F2054">
        <w:rPr>
          <w:rFonts w:ascii="Arial" w:hAnsi="Arial" w:cs="Arial"/>
          <w:lang w:val="en-US"/>
        </w:rPr>
        <w:t xml:space="preserve">. 2009;12(2):170–176. </w:t>
      </w:r>
    </w:p>
    <w:p w14:paraId="6F6BC5E0" w14:textId="077670FA" w:rsidR="005A408C" w:rsidRPr="005F2054" w:rsidRDefault="005A408C" w:rsidP="005F2054">
      <w:pPr>
        <w:spacing w:after="0"/>
        <w:ind w:left="576" w:hanging="576"/>
        <w:rPr>
          <w:rFonts w:ascii="Arial" w:hAnsi="Arial" w:cs="Arial"/>
          <w:lang w:val="en-US"/>
        </w:rPr>
      </w:pPr>
      <w:r w:rsidRPr="005F2054">
        <w:rPr>
          <w:rFonts w:ascii="Arial" w:hAnsi="Arial" w:cs="Arial"/>
          <w:lang w:val="en-US"/>
        </w:rPr>
        <w:t>77.</w:t>
      </w:r>
      <w:r w:rsidR="00B21D70">
        <w:rPr>
          <w:rFonts w:ascii="Arial" w:hAnsi="Arial" w:cs="Arial"/>
          <w:lang w:val="en-US"/>
        </w:rPr>
        <w:t xml:space="preserve">    </w:t>
      </w:r>
      <w:proofErr w:type="spellStart"/>
      <w:r w:rsidRPr="005F2054">
        <w:rPr>
          <w:rFonts w:ascii="Arial" w:hAnsi="Arial" w:cs="Arial"/>
          <w:lang w:val="en-US"/>
        </w:rPr>
        <w:t>Shevroja</w:t>
      </w:r>
      <w:proofErr w:type="spellEnd"/>
      <w:r w:rsidRPr="005F2054">
        <w:rPr>
          <w:rFonts w:ascii="Arial" w:hAnsi="Arial" w:cs="Arial"/>
          <w:lang w:val="en-US"/>
        </w:rPr>
        <w:t xml:space="preserve"> E, Lamy O, Hans D. Review on the Utility of Trabecular Bone Score, a Surrogate of Bone Micro-architecture, in the Chronic Kidney Disease Spectrum and in Kidney Transplant Recipients. Front Endocrinol (Lausanne). 2018; </w:t>
      </w:r>
      <w:r w:rsidR="00F37AD4" w:rsidRPr="005F2054">
        <w:rPr>
          <w:rFonts w:ascii="Arial" w:hAnsi="Arial" w:cs="Arial"/>
          <w:lang w:val="en-US"/>
        </w:rPr>
        <w:t>24; 9:561</w:t>
      </w:r>
    </w:p>
    <w:p w14:paraId="1E03D442" w14:textId="6A30EA66" w:rsidR="005A408C" w:rsidRPr="005F2054" w:rsidRDefault="003E6515" w:rsidP="005F2054">
      <w:pPr>
        <w:spacing w:after="0"/>
        <w:ind w:left="576" w:hanging="576"/>
        <w:rPr>
          <w:rFonts w:ascii="Arial" w:hAnsi="Arial" w:cs="Arial"/>
          <w:lang w:val="en-US"/>
        </w:rPr>
      </w:pPr>
      <w:r w:rsidRPr="005F2054">
        <w:rPr>
          <w:rFonts w:ascii="Arial" w:hAnsi="Arial" w:cs="Arial"/>
          <w:lang w:val="en-US"/>
        </w:rPr>
        <w:t>78.</w:t>
      </w:r>
      <w:r w:rsidR="00B21D70">
        <w:rPr>
          <w:rFonts w:ascii="Arial" w:hAnsi="Arial" w:cs="Arial"/>
          <w:lang w:val="en-US"/>
        </w:rPr>
        <w:t xml:space="preserve">   </w:t>
      </w:r>
      <w:r w:rsidR="006F63E3" w:rsidRPr="005F2054">
        <w:rPr>
          <w:rFonts w:ascii="Arial" w:hAnsi="Arial" w:cs="Arial"/>
          <w:lang w:val="en-US"/>
        </w:rPr>
        <w:t xml:space="preserve"> Stein EM, Ortiz D, Jin Z, McMahon DJ, Shane E. Prevention of fractures after solid organ transplantation: a meta-analysis. J Clin Endocrinol </w:t>
      </w:r>
      <w:proofErr w:type="spellStart"/>
      <w:r w:rsidR="006F63E3" w:rsidRPr="005F2054">
        <w:rPr>
          <w:rFonts w:ascii="Arial" w:hAnsi="Arial" w:cs="Arial"/>
          <w:lang w:val="en-US"/>
        </w:rPr>
        <w:t>Metab</w:t>
      </w:r>
      <w:proofErr w:type="spellEnd"/>
      <w:r w:rsidR="006F63E3" w:rsidRPr="005F2054">
        <w:rPr>
          <w:rFonts w:ascii="Arial" w:hAnsi="Arial" w:cs="Arial"/>
          <w:lang w:val="en-US"/>
        </w:rPr>
        <w:t>. 2011;96(11):3457-65</w:t>
      </w:r>
    </w:p>
    <w:p w14:paraId="6CEE7EB5" w14:textId="09D8A37D" w:rsidR="000A6380" w:rsidRPr="005F2054" w:rsidRDefault="00CA642E" w:rsidP="005F2054">
      <w:pPr>
        <w:spacing w:after="0"/>
        <w:ind w:left="576" w:hanging="576"/>
        <w:rPr>
          <w:rFonts w:ascii="Arial" w:hAnsi="Arial" w:cs="Arial"/>
          <w:lang w:val="en-US"/>
        </w:rPr>
      </w:pPr>
      <w:r w:rsidRPr="005F2054">
        <w:rPr>
          <w:rFonts w:ascii="Arial" w:hAnsi="Arial" w:cs="Arial"/>
          <w:lang w:val="en-US"/>
        </w:rPr>
        <w:t>79.</w:t>
      </w:r>
      <w:r w:rsidR="00B21D70">
        <w:rPr>
          <w:rFonts w:ascii="Arial" w:hAnsi="Arial" w:cs="Arial"/>
          <w:lang w:val="en-US"/>
        </w:rPr>
        <w:t xml:space="preserve">   </w:t>
      </w:r>
      <w:r w:rsidR="000A6380" w:rsidRPr="005F2054">
        <w:rPr>
          <w:rFonts w:ascii="Arial" w:hAnsi="Arial" w:cs="Arial"/>
          <w:lang w:val="en-US"/>
        </w:rPr>
        <w:t xml:space="preserve"> Ho OTW, Ng WCA, Ow ZGW, Ho YJ, Lim WH, Yong JN, Wang RS, Wong KL, Ng CH, Muthiah MD, Teo CM. Bisphosphonate therapy after liver transplant improves bone mineral density and reduces fracture rates: an updated systematic review and meta-analysis. </w:t>
      </w:r>
      <w:proofErr w:type="spellStart"/>
      <w:r w:rsidR="000A6380" w:rsidRPr="005F2054">
        <w:rPr>
          <w:rFonts w:ascii="Arial" w:hAnsi="Arial" w:cs="Arial"/>
          <w:lang w:val="en-US"/>
        </w:rPr>
        <w:t>Transpl</w:t>
      </w:r>
      <w:proofErr w:type="spellEnd"/>
      <w:r w:rsidR="000A6380" w:rsidRPr="005F2054">
        <w:rPr>
          <w:rFonts w:ascii="Arial" w:hAnsi="Arial" w:cs="Arial"/>
          <w:lang w:val="en-US"/>
        </w:rPr>
        <w:t xml:space="preserve"> Int. 2021;34(8):1386-1396.</w:t>
      </w:r>
    </w:p>
    <w:p w14:paraId="357586B6" w14:textId="52F15DF9" w:rsidR="005C1086" w:rsidRPr="005F2054" w:rsidRDefault="00900557" w:rsidP="005F2054">
      <w:pPr>
        <w:spacing w:after="0"/>
        <w:ind w:left="576" w:hanging="576"/>
        <w:rPr>
          <w:rFonts w:ascii="Arial" w:eastAsia="Aptos" w:hAnsi="Arial" w:cs="Arial"/>
          <w:lang w:val="en-US"/>
        </w:rPr>
      </w:pPr>
      <w:r w:rsidRPr="005F2054">
        <w:rPr>
          <w:rFonts w:ascii="Arial" w:hAnsi="Arial" w:cs="Arial"/>
          <w:lang w:val="en-US"/>
        </w:rPr>
        <w:lastRenderedPageBreak/>
        <w:t>80</w:t>
      </w:r>
      <w:r w:rsidR="006F63E3" w:rsidRPr="005F2054">
        <w:rPr>
          <w:rFonts w:ascii="Arial" w:hAnsi="Arial" w:cs="Arial"/>
          <w:lang w:val="en-US"/>
        </w:rPr>
        <w:t>.</w:t>
      </w:r>
      <w:r w:rsidR="00B21D70">
        <w:rPr>
          <w:rFonts w:ascii="Arial" w:hAnsi="Arial" w:cs="Arial"/>
          <w:lang w:val="en-US"/>
        </w:rPr>
        <w:t xml:space="preserve">   </w:t>
      </w:r>
      <w:r w:rsidR="006F63E3" w:rsidRPr="005F2054">
        <w:rPr>
          <w:rFonts w:ascii="Arial" w:eastAsia="Aptos" w:hAnsi="Arial" w:cs="Arial"/>
          <w:lang w:val="en-US"/>
        </w:rPr>
        <w:t xml:space="preserve"> Martin P, DiMartini A, Feng S, Brown R, Fallon M. Evaluation for liver transplantation in adults: 2013 practice guideline by the American Association for the Study of Liver Diseases and the American Society of Transplantation. Hepatology. 2014 ;59(3):1144-65.</w:t>
      </w:r>
    </w:p>
    <w:p w14:paraId="07BE1D85" w14:textId="29415742" w:rsidR="005321AB" w:rsidRPr="005F2054" w:rsidRDefault="005321AB" w:rsidP="005F2054">
      <w:pPr>
        <w:spacing w:after="0"/>
        <w:ind w:left="576" w:hanging="576"/>
        <w:rPr>
          <w:rFonts w:ascii="Arial" w:hAnsi="Arial" w:cs="Arial"/>
          <w:lang w:val="en-US"/>
        </w:rPr>
      </w:pPr>
      <w:r w:rsidRPr="005F2054">
        <w:rPr>
          <w:rFonts w:ascii="Arial" w:eastAsia="Aptos" w:hAnsi="Arial" w:cs="Arial"/>
          <w:lang w:val="en-US"/>
        </w:rPr>
        <w:t>8</w:t>
      </w:r>
      <w:r w:rsidR="00900557" w:rsidRPr="005F2054">
        <w:rPr>
          <w:rFonts w:ascii="Arial" w:eastAsia="Aptos" w:hAnsi="Arial" w:cs="Arial"/>
          <w:lang w:val="en-US"/>
        </w:rPr>
        <w:t>1</w:t>
      </w:r>
      <w:r w:rsidRPr="005F2054">
        <w:rPr>
          <w:rFonts w:ascii="Arial" w:eastAsia="Aptos" w:hAnsi="Arial" w:cs="Arial"/>
          <w:lang w:val="en-US"/>
        </w:rPr>
        <w:t>.</w:t>
      </w:r>
      <w:r w:rsidR="00B21D70">
        <w:rPr>
          <w:rFonts w:ascii="Arial" w:eastAsia="Aptos" w:hAnsi="Arial" w:cs="Arial"/>
          <w:lang w:val="en-US"/>
        </w:rPr>
        <w:t xml:space="preserve">   </w:t>
      </w:r>
      <w:r w:rsidRPr="005F2054">
        <w:rPr>
          <w:rFonts w:ascii="Arial" w:hAnsi="Arial" w:cs="Arial"/>
          <w:lang w:val="en-US"/>
        </w:rPr>
        <w:t xml:space="preserve"> Kidney Disease: Improving Global Outcomes (KDIGO) CKD-MBD Update Work Group. KDIGO 2017 Clinical Practice Guideline Update for the Diagnosis, Evaluation, Prevention, and Treatment of Chronic Kidney Disease-Mineral and Bone Disorder (CKD-MBD). Kidney Int Suppl. </w:t>
      </w:r>
      <w:r w:rsidR="00F37AD4" w:rsidRPr="005F2054">
        <w:rPr>
          <w:rFonts w:ascii="Arial" w:hAnsi="Arial" w:cs="Arial"/>
          <w:lang w:val="en-US"/>
        </w:rPr>
        <w:t>2017; 7:1</w:t>
      </w:r>
      <w:r w:rsidRPr="005F2054">
        <w:rPr>
          <w:rFonts w:ascii="Arial" w:hAnsi="Arial" w:cs="Arial"/>
          <w:lang w:val="en-US"/>
        </w:rPr>
        <w:t>-59.</w:t>
      </w:r>
    </w:p>
    <w:p w14:paraId="57A9EB0C" w14:textId="51931A56" w:rsidR="0058353B" w:rsidRPr="005F2054" w:rsidRDefault="0058353B" w:rsidP="005F2054">
      <w:pPr>
        <w:spacing w:after="0"/>
        <w:ind w:left="576" w:hanging="576"/>
        <w:rPr>
          <w:rFonts w:ascii="Arial" w:hAnsi="Arial" w:cs="Arial"/>
          <w:lang w:val="en-US"/>
        </w:rPr>
      </w:pPr>
      <w:r w:rsidRPr="005F2054">
        <w:rPr>
          <w:rFonts w:ascii="Arial" w:hAnsi="Arial" w:cs="Arial"/>
          <w:lang w:val="en-US"/>
        </w:rPr>
        <w:t>8</w:t>
      </w:r>
      <w:r w:rsidR="00900557" w:rsidRPr="005F2054">
        <w:rPr>
          <w:rFonts w:ascii="Arial" w:hAnsi="Arial" w:cs="Arial"/>
          <w:lang w:val="en-US"/>
        </w:rPr>
        <w:t>2</w:t>
      </w:r>
      <w:r w:rsidRPr="005F2054">
        <w:rPr>
          <w:rFonts w:ascii="Arial" w:hAnsi="Arial" w:cs="Arial"/>
          <w:lang w:val="en-US"/>
        </w:rPr>
        <w:t>.</w:t>
      </w:r>
      <w:r w:rsidR="00B21D70">
        <w:rPr>
          <w:rFonts w:ascii="Arial" w:hAnsi="Arial" w:cs="Arial"/>
          <w:lang w:val="en-US"/>
        </w:rPr>
        <w:t xml:space="preserve">   </w:t>
      </w:r>
      <w:r w:rsidRPr="005F2054">
        <w:rPr>
          <w:rFonts w:ascii="Arial" w:hAnsi="Arial" w:cs="Arial"/>
          <w:lang w:val="en-US"/>
        </w:rPr>
        <w:t xml:space="preserve"> </w:t>
      </w:r>
      <w:proofErr w:type="spellStart"/>
      <w:r w:rsidRPr="005F2054">
        <w:rPr>
          <w:rFonts w:ascii="Arial" w:hAnsi="Arial" w:cs="Arial"/>
          <w:lang w:val="en-US"/>
        </w:rPr>
        <w:t>Mainra</w:t>
      </w:r>
      <w:proofErr w:type="spellEnd"/>
      <w:r w:rsidRPr="005F2054">
        <w:rPr>
          <w:rFonts w:ascii="Arial" w:hAnsi="Arial" w:cs="Arial"/>
          <w:lang w:val="en-US"/>
        </w:rPr>
        <w:t xml:space="preserve"> R, Elder GJ. Individualized therapy to prevent bone mineral density loss after kidney and kidney-pancreas transplantation. Clin J Am Soc Nephrol. 2010;5(1):117-24.</w:t>
      </w:r>
    </w:p>
    <w:p w14:paraId="0FCC5CBC" w14:textId="016F3F92" w:rsidR="0064791B" w:rsidRPr="005F2054" w:rsidRDefault="0058353B" w:rsidP="005F2054">
      <w:pPr>
        <w:spacing w:after="0"/>
        <w:ind w:left="576" w:hanging="576"/>
        <w:rPr>
          <w:rFonts w:ascii="Arial" w:hAnsi="Arial" w:cs="Arial"/>
          <w:lang w:val="en-US"/>
        </w:rPr>
      </w:pPr>
      <w:r w:rsidRPr="005F2054">
        <w:rPr>
          <w:rFonts w:ascii="Arial" w:hAnsi="Arial" w:cs="Arial"/>
          <w:lang w:val="en-US"/>
        </w:rPr>
        <w:t>8</w:t>
      </w:r>
      <w:r w:rsidR="00900557" w:rsidRPr="005F2054">
        <w:rPr>
          <w:rFonts w:ascii="Arial" w:hAnsi="Arial" w:cs="Arial"/>
          <w:lang w:val="en-US"/>
        </w:rPr>
        <w:t>3</w:t>
      </w:r>
      <w:r w:rsidRPr="005F2054">
        <w:rPr>
          <w:rFonts w:ascii="Arial" w:hAnsi="Arial" w:cs="Arial"/>
          <w:lang w:val="en-US"/>
        </w:rPr>
        <w:t>.</w:t>
      </w:r>
      <w:r w:rsidR="007147AB">
        <w:rPr>
          <w:rFonts w:ascii="Arial" w:hAnsi="Arial" w:cs="Arial"/>
          <w:lang w:val="en-US"/>
        </w:rPr>
        <w:t xml:space="preserve">    </w:t>
      </w:r>
      <w:proofErr w:type="spellStart"/>
      <w:r w:rsidRPr="005F2054">
        <w:rPr>
          <w:rFonts w:ascii="Arial" w:hAnsi="Arial" w:cs="Arial"/>
          <w:lang w:val="en-US"/>
        </w:rPr>
        <w:t>Anastasilakis</w:t>
      </w:r>
      <w:proofErr w:type="spellEnd"/>
      <w:r w:rsidRPr="005F2054">
        <w:rPr>
          <w:rFonts w:ascii="Arial" w:hAnsi="Arial" w:cs="Arial"/>
          <w:lang w:val="en-US"/>
        </w:rPr>
        <w:t xml:space="preserve"> AD, </w:t>
      </w:r>
      <w:proofErr w:type="spellStart"/>
      <w:r w:rsidRPr="005F2054">
        <w:rPr>
          <w:rFonts w:ascii="Arial" w:hAnsi="Arial" w:cs="Arial"/>
          <w:lang w:val="en-US"/>
        </w:rPr>
        <w:t>Tsourdi</w:t>
      </w:r>
      <w:proofErr w:type="spellEnd"/>
      <w:r w:rsidRPr="005F2054">
        <w:rPr>
          <w:rFonts w:ascii="Arial" w:hAnsi="Arial" w:cs="Arial"/>
          <w:lang w:val="en-US"/>
        </w:rPr>
        <w:t xml:space="preserve"> E, </w:t>
      </w:r>
      <w:proofErr w:type="spellStart"/>
      <w:r w:rsidRPr="005F2054">
        <w:rPr>
          <w:rFonts w:ascii="Arial" w:hAnsi="Arial" w:cs="Arial"/>
          <w:lang w:val="en-US"/>
        </w:rPr>
        <w:t>Makras</w:t>
      </w:r>
      <w:proofErr w:type="spellEnd"/>
      <w:r w:rsidRPr="005F2054">
        <w:rPr>
          <w:rFonts w:ascii="Arial" w:hAnsi="Arial" w:cs="Arial"/>
          <w:lang w:val="en-US"/>
        </w:rPr>
        <w:t xml:space="preserve"> P, Polyzos SA, Meier C, McCloskey EV, Pepe J, </w:t>
      </w:r>
      <w:proofErr w:type="spellStart"/>
      <w:r w:rsidRPr="005F2054">
        <w:rPr>
          <w:rFonts w:ascii="Arial" w:hAnsi="Arial" w:cs="Arial"/>
          <w:lang w:val="en-US"/>
        </w:rPr>
        <w:t>Zillikens</w:t>
      </w:r>
      <w:proofErr w:type="spellEnd"/>
      <w:r w:rsidRPr="005F2054">
        <w:rPr>
          <w:rFonts w:ascii="Arial" w:hAnsi="Arial" w:cs="Arial"/>
          <w:lang w:val="en-US"/>
        </w:rPr>
        <w:t xml:space="preserve"> MC. Bone disease following solid organ transplantation: A narrative review and recommendations for management from The European Calcified Tissue Society. Bone. </w:t>
      </w:r>
      <w:r w:rsidR="003C61BA" w:rsidRPr="005F2054">
        <w:rPr>
          <w:rFonts w:ascii="Arial" w:hAnsi="Arial" w:cs="Arial"/>
          <w:lang w:val="en-US"/>
        </w:rPr>
        <w:t>2019; 127:401</w:t>
      </w:r>
      <w:r w:rsidRPr="005F2054">
        <w:rPr>
          <w:rFonts w:ascii="Arial" w:hAnsi="Arial" w:cs="Arial"/>
          <w:lang w:val="en-US"/>
        </w:rPr>
        <w:t>-418.</w:t>
      </w:r>
    </w:p>
    <w:p w14:paraId="423F7D40" w14:textId="1320D1D4" w:rsidR="00651F9A" w:rsidRPr="005F2054" w:rsidRDefault="003C61BA" w:rsidP="005F2054">
      <w:pPr>
        <w:spacing w:after="0"/>
        <w:ind w:left="576" w:hanging="576"/>
        <w:rPr>
          <w:rFonts w:ascii="Arial" w:hAnsi="Arial" w:cs="Arial"/>
          <w:lang w:val="en-US"/>
        </w:rPr>
      </w:pPr>
      <w:r w:rsidRPr="005F2054">
        <w:rPr>
          <w:rFonts w:ascii="Arial" w:hAnsi="Arial" w:cs="Arial"/>
          <w:lang w:val="en-US"/>
        </w:rPr>
        <w:t>8</w:t>
      </w:r>
      <w:r w:rsidR="00900557" w:rsidRPr="005F2054">
        <w:rPr>
          <w:rFonts w:ascii="Arial" w:hAnsi="Arial" w:cs="Arial"/>
          <w:lang w:val="en-US"/>
        </w:rPr>
        <w:t>4</w:t>
      </w:r>
      <w:r w:rsidRPr="005F2054">
        <w:rPr>
          <w:rFonts w:ascii="Arial" w:hAnsi="Arial" w:cs="Arial"/>
          <w:lang w:val="en-US"/>
        </w:rPr>
        <w:t>.</w:t>
      </w:r>
      <w:r w:rsidR="007147AB">
        <w:rPr>
          <w:rFonts w:ascii="Arial" w:hAnsi="Arial" w:cs="Arial"/>
          <w:lang w:val="en-US"/>
        </w:rPr>
        <w:t xml:space="preserve">   </w:t>
      </w:r>
      <w:r w:rsidR="008B4B28" w:rsidRPr="005F2054">
        <w:rPr>
          <w:rFonts w:ascii="Arial" w:eastAsia="Aptos" w:hAnsi="Arial" w:cs="Arial"/>
          <w:lang w:val="en-US"/>
        </w:rPr>
        <w:t xml:space="preserve"> </w:t>
      </w:r>
      <w:r w:rsidR="00651F9A" w:rsidRPr="005F2054">
        <w:rPr>
          <w:rFonts w:ascii="Arial" w:hAnsi="Arial" w:cs="Arial"/>
          <w:lang w:val="en-US"/>
        </w:rPr>
        <w:t xml:space="preserve">Wissing KM, Broeders N, Moreno-Reyes R, </w:t>
      </w:r>
      <w:proofErr w:type="spellStart"/>
      <w:r w:rsidR="00651F9A" w:rsidRPr="005F2054">
        <w:rPr>
          <w:rFonts w:ascii="Arial" w:hAnsi="Arial" w:cs="Arial"/>
          <w:lang w:val="en-US"/>
        </w:rPr>
        <w:t>Gervy</w:t>
      </w:r>
      <w:proofErr w:type="spellEnd"/>
      <w:r w:rsidR="00651F9A" w:rsidRPr="005F2054">
        <w:rPr>
          <w:rFonts w:ascii="Arial" w:hAnsi="Arial" w:cs="Arial"/>
          <w:lang w:val="en-US"/>
        </w:rPr>
        <w:t xml:space="preserve"> C, </w:t>
      </w:r>
      <w:proofErr w:type="spellStart"/>
      <w:r w:rsidR="00651F9A" w:rsidRPr="005F2054">
        <w:rPr>
          <w:rFonts w:ascii="Arial" w:hAnsi="Arial" w:cs="Arial"/>
          <w:lang w:val="en-US"/>
        </w:rPr>
        <w:t>Stallenberg</w:t>
      </w:r>
      <w:proofErr w:type="spellEnd"/>
      <w:r w:rsidR="00651F9A" w:rsidRPr="005F2054">
        <w:rPr>
          <w:rFonts w:ascii="Arial" w:hAnsi="Arial" w:cs="Arial"/>
          <w:lang w:val="en-US"/>
        </w:rPr>
        <w:t xml:space="preserve"> B, Abramowicz D. A controlled study of vitamin D3 to prevent bone loss in renal-transplant patients receiving low doses of steroids. Transplantation. 2005</w:t>
      </w:r>
      <w:r w:rsidR="00873807" w:rsidRPr="005F2054">
        <w:rPr>
          <w:rFonts w:ascii="Arial" w:hAnsi="Arial" w:cs="Arial"/>
          <w:lang w:val="en-US"/>
        </w:rPr>
        <w:t>;</w:t>
      </w:r>
      <w:r w:rsidR="00651F9A" w:rsidRPr="005F2054">
        <w:rPr>
          <w:rFonts w:ascii="Arial" w:hAnsi="Arial" w:cs="Arial"/>
          <w:lang w:val="en-US"/>
        </w:rPr>
        <w:t>15</w:t>
      </w:r>
      <w:r w:rsidR="00873807" w:rsidRPr="005F2054">
        <w:rPr>
          <w:rFonts w:ascii="Arial" w:hAnsi="Arial" w:cs="Arial"/>
          <w:lang w:val="en-US"/>
        </w:rPr>
        <w:t>:</w:t>
      </w:r>
      <w:r w:rsidR="00651F9A" w:rsidRPr="005F2054">
        <w:rPr>
          <w:rFonts w:ascii="Arial" w:hAnsi="Arial" w:cs="Arial"/>
          <w:lang w:val="en-US"/>
        </w:rPr>
        <w:t xml:space="preserve">79(1):108-15. </w:t>
      </w:r>
    </w:p>
    <w:p w14:paraId="32ECEA6F" w14:textId="08D76729" w:rsidR="00F832AA" w:rsidRPr="005F2054" w:rsidRDefault="00F832AA" w:rsidP="005F2054">
      <w:pPr>
        <w:spacing w:after="0"/>
        <w:ind w:left="576" w:hanging="576"/>
        <w:rPr>
          <w:rFonts w:ascii="Arial" w:hAnsi="Arial" w:cs="Arial"/>
          <w:lang w:val="en-US"/>
        </w:rPr>
      </w:pPr>
      <w:r w:rsidRPr="005F2054">
        <w:rPr>
          <w:rFonts w:ascii="Arial" w:hAnsi="Arial" w:cs="Arial"/>
          <w:lang w:val="en-US"/>
        </w:rPr>
        <w:t>85.</w:t>
      </w:r>
      <w:r w:rsidR="007147AB">
        <w:rPr>
          <w:rFonts w:ascii="Arial" w:hAnsi="Arial" w:cs="Arial"/>
          <w:lang w:val="en-US"/>
        </w:rPr>
        <w:t xml:space="preserve">    </w:t>
      </w:r>
      <w:r w:rsidRPr="005F2054">
        <w:rPr>
          <w:rFonts w:ascii="Arial" w:hAnsi="Arial" w:cs="Arial"/>
          <w:lang w:val="en-US"/>
        </w:rPr>
        <w:t xml:space="preserve">Tsujita M, Doi Y, Obi Y, Hamano T, </w:t>
      </w:r>
      <w:proofErr w:type="spellStart"/>
      <w:r w:rsidRPr="005F2054">
        <w:rPr>
          <w:rFonts w:ascii="Arial" w:hAnsi="Arial" w:cs="Arial"/>
          <w:lang w:val="en-US"/>
        </w:rPr>
        <w:t>Tomosugi</w:t>
      </w:r>
      <w:proofErr w:type="spellEnd"/>
      <w:r w:rsidRPr="005F2054">
        <w:rPr>
          <w:rFonts w:ascii="Arial" w:hAnsi="Arial" w:cs="Arial"/>
          <w:lang w:val="en-US"/>
        </w:rPr>
        <w:t xml:space="preserve"> T, Futamura K, Okada M, </w:t>
      </w:r>
      <w:proofErr w:type="spellStart"/>
      <w:r w:rsidRPr="005F2054">
        <w:rPr>
          <w:rFonts w:ascii="Arial" w:hAnsi="Arial" w:cs="Arial"/>
          <w:lang w:val="en-US"/>
        </w:rPr>
        <w:t>Hiramitsu</w:t>
      </w:r>
      <w:proofErr w:type="spellEnd"/>
      <w:r w:rsidRPr="005F2054">
        <w:rPr>
          <w:rFonts w:ascii="Arial" w:hAnsi="Arial" w:cs="Arial"/>
          <w:lang w:val="en-US"/>
        </w:rPr>
        <w:t xml:space="preserve"> T, Goto N, Isaka Y, Takeda A, Narumi S, </w:t>
      </w:r>
      <w:proofErr w:type="spellStart"/>
      <w:r w:rsidRPr="005F2054">
        <w:rPr>
          <w:rFonts w:ascii="Arial" w:hAnsi="Arial" w:cs="Arial"/>
          <w:lang w:val="en-US"/>
        </w:rPr>
        <w:t>Watarai</w:t>
      </w:r>
      <w:proofErr w:type="spellEnd"/>
      <w:r w:rsidRPr="005F2054">
        <w:rPr>
          <w:rFonts w:ascii="Arial" w:hAnsi="Arial" w:cs="Arial"/>
          <w:lang w:val="en-US"/>
        </w:rPr>
        <w:t xml:space="preserve"> Y. Cholecalciferol Supplementation Attenuates Bone Loss in Incident Kidney Transplant Recipients: A Prespecified Secondary Endpoint Analysis of a Randomized Controlled Trial. J Bone Miner Res. 2022;</w:t>
      </w:r>
      <w:r w:rsidR="002936BC" w:rsidRPr="005F2054">
        <w:rPr>
          <w:rFonts w:ascii="Arial" w:hAnsi="Arial" w:cs="Arial"/>
          <w:lang w:val="en-US"/>
        </w:rPr>
        <w:t xml:space="preserve"> </w:t>
      </w:r>
      <w:r w:rsidRPr="005F2054">
        <w:rPr>
          <w:rFonts w:ascii="Arial" w:hAnsi="Arial" w:cs="Arial"/>
          <w:lang w:val="en-US"/>
        </w:rPr>
        <w:t xml:space="preserve">37(2):303-311. </w:t>
      </w:r>
    </w:p>
    <w:p w14:paraId="189B88AE" w14:textId="73948F7E" w:rsidR="00F832AA" w:rsidRPr="005F2054" w:rsidRDefault="00AE34B9" w:rsidP="005F2054">
      <w:pPr>
        <w:spacing w:after="0"/>
        <w:ind w:left="576" w:hanging="576"/>
        <w:rPr>
          <w:rFonts w:ascii="Arial" w:hAnsi="Arial" w:cs="Arial"/>
          <w:lang w:val="en-US"/>
        </w:rPr>
      </w:pPr>
      <w:r w:rsidRPr="005F2054">
        <w:rPr>
          <w:rFonts w:ascii="Arial" w:hAnsi="Arial" w:cs="Arial"/>
          <w:lang w:val="en-US"/>
        </w:rPr>
        <w:t>86.</w:t>
      </w:r>
      <w:r w:rsidR="007147AB">
        <w:rPr>
          <w:rFonts w:ascii="Arial" w:hAnsi="Arial" w:cs="Arial"/>
          <w:lang w:val="en-US"/>
        </w:rPr>
        <w:t xml:space="preserve">    </w:t>
      </w:r>
      <w:r w:rsidRPr="005F2054">
        <w:rPr>
          <w:rFonts w:ascii="Arial" w:hAnsi="Arial" w:cs="Arial"/>
          <w:lang w:val="en-US"/>
        </w:rPr>
        <w:t>Palmer SC, Chung EY, McGregor DO, Bachmann F, Strippoli GF. Interventions for preventing bone disease in kidney transplant recipients. Cochrane Database Syst Rev. 2019 Oct 22;10(10): CD005015.</w:t>
      </w:r>
    </w:p>
    <w:p w14:paraId="6D0149AC" w14:textId="4CB7F0F4" w:rsidR="001B53A9" w:rsidRPr="005F2054" w:rsidRDefault="003E4BDB" w:rsidP="005F2054">
      <w:pPr>
        <w:spacing w:after="0"/>
        <w:ind w:left="576" w:hanging="576"/>
        <w:rPr>
          <w:rFonts w:ascii="Arial" w:eastAsia="Aptos" w:hAnsi="Arial" w:cs="Arial"/>
          <w:lang w:val="en-US"/>
        </w:rPr>
      </w:pPr>
      <w:r w:rsidRPr="005F2054">
        <w:rPr>
          <w:rFonts w:ascii="Arial" w:hAnsi="Arial" w:cs="Arial"/>
          <w:lang w:val="en-US"/>
        </w:rPr>
        <w:t>87.</w:t>
      </w:r>
      <w:r w:rsidR="007147AB">
        <w:rPr>
          <w:rFonts w:ascii="Arial" w:hAnsi="Arial" w:cs="Arial"/>
          <w:lang w:val="en-US"/>
        </w:rPr>
        <w:t xml:space="preserve">   </w:t>
      </w:r>
      <w:r w:rsidRPr="005F2054">
        <w:rPr>
          <w:rFonts w:ascii="Arial" w:eastAsia="Aptos" w:hAnsi="Arial" w:cs="Arial"/>
          <w:lang w:val="en-US"/>
        </w:rPr>
        <w:t xml:space="preserve"> Shane E, Addesso V, </w:t>
      </w:r>
      <w:proofErr w:type="spellStart"/>
      <w:r w:rsidRPr="005F2054">
        <w:rPr>
          <w:rFonts w:ascii="Arial" w:eastAsia="Aptos" w:hAnsi="Arial" w:cs="Arial"/>
          <w:lang w:val="en-US"/>
        </w:rPr>
        <w:t>Namerow</w:t>
      </w:r>
      <w:proofErr w:type="spellEnd"/>
      <w:r w:rsidRPr="005F2054">
        <w:rPr>
          <w:rFonts w:ascii="Arial" w:eastAsia="Aptos" w:hAnsi="Arial" w:cs="Arial"/>
          <w:lang w:val="en-US"/>
        </w:rPr>
        <w:t xml:space="preserve"> PB, McMahon DJ, Lo SH, Staron RB, Zucker M, Pardi S, Maybaum S, Mancini D. Alendronate versus calcitriol for the prevention of bone loss after cardiac transplantation</w:t>
      </w:r>
      <w:r w:rsidR="00A353E0" w:rsidRPr="005F2054">
        <w:rPr>
          <w:rFonts w:ascii="Arial" w:eastAsia="Aptos" w:hAnsi="Arial" w:cs="Arial"/>
          <w:lang w:val="en-US"/>
        </w:rPr>
        <w:t xml:space="preserve"> </w:t>
      </w:r>
      <w:r w:rsidRPr="005F2054">
        <w:rPr>
          <w:rFonts w:ascii="Arial" w:eastAsia="Aptos" w:hAnsi="Arial" w:cs="Arial"/>
          <w:lang w:val="en-US"/>
        </w:rPr>
        <w:t xml:space="preserve">N Engl J Med </w:t>
      </w:r>
      <w:r w:rsidR="002936BC" w:rsidRPr="005F2054">
        <w:rPr>
          <w:rFonts w:ascii="Arial" w:eastAsia="Aptos" w:hAnsi="Arial" w:cs="Arial"/>
          <w:lang w:val="en-US"/>
        </w:rPr>
        <w:t>2004; 350:767</w:t>
      </w:r>
      <w:r w:rsidRPr="005F2054">
        <w:rPr>
          <w:rFonts w:ascii="Arial" w:eastAsia="Aptos" w:hAnsi="Arial" w:cs="Arial"/>
          <w:lang w:val="en-US"/>
        </w:rPr>
        <w:t>-776</w:t>
      </w:r>
    </w:p>
    <w:p w14:paraId="3EEEFDE0" w14:textId="7EBD3D70" w:rsidR="005A4A3B" w:rsidRPr="005F2054" w:rsidRDefault="005A4A3B" w:rsidP="005F2054">
      <w:pPr>
        <w:spacing w:after="0"/>
        <w:ind w:left="576" w:hanging="576"/>
        <w:rPr>
          <w:rFonts w:ascii="Arial" w:eastAsia="Aptos" w:hAnsi="Arial" w:cs="Arial"/>
          <w:lang w:val="en-US"/>
        </w:rPr>
      </w:pPr>
      <w:r w:rsidRPr="005F2054">
        <w:rPr>
          <w:rFonts w:ascii="Arial" w:eastAsia="Aptos" w:hAnsi="Arial" w:cs="Arial"/>
          <w:lang w:val="en-US"/>
        </w:rPr>
        <w:t>8</w:t>
      </w:r>
      <w:r w:rsidR="003E4BDB" w:rsidRPr="005F2054">
        <w:rPr>
          <w:rFonts w:ascii="Arial" w:eastAsia="Aptos" w:hAnsi="Arial" w:cs="Arial"/>
          <w:lang w:val="en-US"/>
        </w:rPr>
        <w:t>8</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w:t>
      </w:r>
      <w:proofErr w:type="spellStart"/>
      <w:r w:rsidRPr="005F2054">
        <w:rPr>
          <w:rFonts w:ascii="Arial" w:eastAsia="Aptos" w:hAnsi="Arial" w:cs="Arial"/>
          <w:lang w:val="en-US"/>
        </w:rPr>
        <w:t>Trillini</w:t>
      </w:r>
      <w:proofErr w:type="spellEnd"/>
      <w:r w:rsidRPr="005F2054">
        <w:rPr>
          <w:rFonts w:ascii="Arial" w:eastAsia="Aptos" w:hAnsi="Arial" w:cs="Arial"/>
          <w:lang w:val="en-US"/>
        </w:rPr>
        <w:t xml:space="preserve"> M, </w:t>
      </w:r>
      <w:proofErr w:type="spellStart"/>
      <w:r w:rsidRPr="005F2054">
        <w:rPr>
          <w:rFonts w:ascii="Arial" w:eastAsia="Aptos" w:hAnsi="Arial" w:cs="Arial"/>
          <w:lang w:val="en-US"/>
        </w:rPr>
        <w:t>Cortinovis</w:t>
      </w:r>
      <w:proofErr w:type="spellEnd"/>
      <w:r w:rsidRPr="005F2054">
        <w:rPr>
          <w:rFonts w:ascii="Arial" w:eastAsia="Aptos" w:hAnsi="Arial" w:cs="Arial"/>
          <w:lang w:val="en-US"/>
        </w:rPr>
        <w:t xml:space="preserve"> M, </w:t>
      </w:r>
      <w:proofErr w:type="spellStart"/>
      <w:r w:rsidRPr="005F2054">
        <w:rPr>
          <w:rFonts w:ascii="Arial" w:eastAsia="Aptos" w:hAnsi="Arial" w:cs="Arial"/>
          <w:lang w:val="en-US"/>
        </w:rPr>
        <w:t>Ruggenenti</w:t>
      </w:r>
      <w:proofErr w:type="spellEnd"/>
      <w:r w:rsidRPr="005F2054">
        <w:rPr>
          <w:rFonts w:ascii="Arial" w:eastAsia="Aptos" w:hAnsi="Arial" w:cs="Arial"/>
          <w:lang w:val="en-US"/>
        </w:rPr>
        <w:t xml:space="preserve"> P, Reyes Loaeza J, Courville K, Ferrer-Siles C, Prandini S, Gaspari F, Cannata A, Villa A, Perna A, Gotti E, Caruso MR, Martinetti D, </w:t>
      </w:r>
      <w:proofErr w:type="spellStart"/>
      <w:r w:rsidRPr="005F2054">
        <w:rPr>
          <w:rFonts w:ascii="Arial" w:eastAsia="Aptos" w:hAnsi="Arial" w:cs="Arial"/>
          <w:lang w:val="en-US"/>
        </w:rPr>
        <w:t>Remuzzi</w:t>
      </w:r>
      <w:proofErr w:type="spellEnd"/>
      <w:r w:rsidRPr="005F2054">
        <w:rPr>
          <w:rFonts w:ascii="Arial" w:eastAsia="Aptos" w:hAnsi="Arial" w:cs="Arial"/>
          <w:lang w:val="en-US"/>
        </w:rPr>
        <w:t xml:space="preserve"> G, Perico N. Paricalcitol for secondary hyperparathyroidism in renal transplantation. J Am Soc Nephrol. 2015;</w:t>
      </w:r>
      <w:r w:rsidR="00A353E0" w:rsidRPr="005F2054">
        <w:rPr>
          <w:rFonts w:ascii="Arial" w:eastAsia="Aptos" w:hAnsi="Arial" w:cs="Arial"/>
          <w:lang w:val="en-US"/>
        </w:rPr>
        <w:t xml:space="preserve"> </w:t>
      </w:r>
      <w:r w:rsidRPr="005F2054">
        <w:rPr>
          <w:rFonts w:ascii="Arial" w:eastAsia="Aptos" w:hAnsi="Arial" w:cs="Arial"/>
          <w:lang w:val="en-US"/>
        </w:rPr>
        <w:t>26(5):1205-14.</w:t>
      </w:r>
    </w:p>
    <w:p w14:paraId="00434261" w14:textId="5AC43DF1" w:rsidR="00757E24" w:rsidRPr="005F2054" w:rsidRDefault="00757E24" w:rsidP="005F2054">
      <w:pPr>
        <w:spacing w:after="0"/>
        <w:ind w:left="576" w:hanging="576"/>
        <w:rPr>
          <w:rFonts w:ascii="Arial" w:eastAsia="Aptos" w:hAnsi="Arial" w:cs="Arial"/>
          <w:lang w:val="en-US"/>
        </w:rPr>
      </w:pPr>
      <w:r w:rsidRPr="005F2054">
        <w:rPr>
          <w:rFonts w:ascii="Arial" w:eastAsia="Aptos" w:hAnsi="Arial" w:cs="Arial"/>
          <w:lang w:val="en-US"/>
        </w:rPr>
        <w:t>89.</w:t>
      </w:r>
      <w:bookmarkStart w:id="9" w:name="_Hlk192445348"/>
      <w:r w:rsidR="007147AB">
        <w:rPr>
          <w:rFonts w:ascii="Arial" w:eastAsia="Aptos" w:hAnsi="Arial" w:cs="Arial"/>
          <w:lang w:val="en-US"/>
        </w:rPr>
        <w:t xml:space="preserve">   </w:t>
      </w:r>
      <w:r w:rsidRPr="005F2054">
        <w:rPr>
          <w:rFonts w:ascii="Arial" w:hAnsi="Arial" w:cs="Arial"/>
          <w:lang w:val="en-US"/>
        </w:rPr>
        <w:t xml:space="preserve"> Stein EM, Ortiz D, Jin Z, McMahon DJ, Shane E. Prevention of fractures after solid organ transplantation: a meta-analysis. J Clin Endocrinol </w:t>
      </w:r>
      <w:proofErr w:type="spellStart"/>
      <w:r w:rsidRPr="005F2054">
        <w:rPr>
          <w:rFonts w:ascii="Arial" w:hAnsi="Arial" w:cs="Arial"/>
          <w:lang w:val="en-US"/>
        </w:rPr>
        <w:t>Metab</w:t>
      </w:r>
      <w:proofErr w:type="spellEnd"/>
      <w:r w:rsidRPr="005F2054">
        <w:rPr>
          <w:rFonts w:ascii="Arial" w:hAnsi="Arial" w:cs="Arial"/>
          <w:lang w:val="en-US"/>
        </w:rPr>
        <w:t>. 2011;</w:t>
      </w:r>
      <w:r w:rsidR="00C40D03" w:rsidRPr="005F2054">
        <w:rPr>
          <w:rFonts w:ascii="Arial" w:hAnsi="Arial" w:cs="Arial"/>
          <w:lang w:val="en-US"/>
        </w:rPr>
        <w:t xml:space="preserve"> </w:t>
      </w:r>
      <w:r w:rsidRPr="005F2054">
        <w:rPr>
          <w:rFonts w:ascii="Arial" w:hAnsi="Arial" w:cs="Arial"/>
          <w:lang w:val="en-US"/>
        </w:rPr>
        <w:t>96(11):3457-65.</w:t>
      </w:r>
      <w:bookmarkEnd w:id="9"/>
      <w:r w:rsidRPr="005F2054">
        <w:rPr>
          <w:rFonts w:ascii="Arial" w:hAnsi="Arial" w:cs="Arial"/>
          <w:lang w:val="en-US"/>
        </w:rPr>
        <w:t xml:space="preserve"> </w:t>
      </w:r>
    </w:p>
    <w:p w14:paraId="76688B74" w14:textId="2EB0E3BD" w:rsidR="004359A9" w:rsidRPr="005F2054" w:rsidRDefault="005A1471" w:rsidP="005F2054">
      <w:pPr>
        <w:spacing w:after="0"/>
        <w:ind w:left="576" w:hanging="576"/>
        <w:rPr>
          <w:rFonts w:ascii="Arial" w:eastAsia="Aptos" w:hAnsi="Arial" w:cs="Arial"/>
          <w:lang w:val="en-US"/>
        </w:rPr>
      </w:pPr>
      <w:r w:rsidRPr="005F2054">
        <w:rPr>
          <w:rFonts w:ascii="Arial" w:eastAsia="Aptos" w:hAnsi="Arial" w:cs="Arial"/>
          <w:lang w:val="en-US"/>
        </w:rPr>
        <w:t>90</w:t>
      </w:r>
      <w:r w:rsidR="004359A9" w:rsidRPr="005F2054">
        <w:rPr>
          <w:rFonts w:ascii="Arial" w:eastAsia="Aptos" w:hAnsi="Arial" w:cs="Arial"/>
          <w:lang w:val="en-US"/>
        </w:rPr>
        <w:t>.</w:t>
      </w:r>
      <w:r w:rsidR="007147AB">
        <w:rPr>
          <w:rFonts w:ascii="Arial" w:eastAsia="Aptos" w:hAnsi="Arial" w:cs="Arial"/>
          <w:lang w:val="en-US"/>
        </w:rPr>
        <w:t xml:space="preserve">    </w:t>
      </w:r>
      <w:r w:rsidR="004359A9" w:rsidRPr="005F2054">
        <w:rPr>
          <w:rFonts w:ascii="Arial" w:eastAsia="Aptos" w:hAnsi="Arial" w:cs="Arial"/>
          <w:lang w:val="en-US"/>
        </w:rPr>
        <w:t xml:space="preserve">Valero MA; </w:t>
      </w:r>
      <w:proofErr w:type="spellStart"/>
      <w:r w:rsidR="004359A9" w:rsidRPr="005F2054">
        <w:rPr>
          <w:rFonts w:ascii="Arial" w:eastAsia="Aptos" w:hAnsi="Arial" w:cs="Arial"/>
          <w:lang w:val="en-US"/>
        </w:rPr>
        <w:t>Loinaz</w:t>
      </w:r>
      <w:proofErr w:type="spellEnd"/>
      <w:r w:rsidR="004359A9" w:rsidRPr="005F2054">
        <w:rPr>
          <w:rFonts w:ascii="Arial" w:eastAsia="Aptos" w:hAnsi="Arial" w:cs="Arial"/>
          <w:lang w:val="en-US"/>
        </w:rPr>
        <w:t xml:space="preserve"> C, </w:t>
      </w:r>
      <w:proofErr w:type="spellStart"/>
      <w:r w:rsidR="004359A9" w:rsidRPr="005F2054">
        <w:rPr>
          <w:rFonts w:ascii="Arial" w:eastAsia="Aptos" w:hAnsi="Arial" w:cs="Arial"/>
          <w:lang w:val="en-US"/>
        </w:rPr>
        <w:t>Larrodera</w:t>
      </w:r>
      <w:proofErr w:type="spellEnd"/>
      <w:r w:rsidR="004359A9" w:rsidRPr="005F2054">
        <w:rPr>
          <w:rFonts w:ascii="Arial" w:eastAsia="Aptos" w:hAnsi="Arial" w:cs="Arial"/>
          <w:lang w:val="en-US"/>
        </w:rPr>
        <w:t xml:space="preserve"> L, Leon M, Moreno </w:t>
      </w:r>
      <w:r w:rsidR="00B16667">
        <w:rPr>
          <w:rFonts w:ascii="Arial" w:eastAsia="Aptos" w:hAnsi="Arial" w:cs="Arial"/>
          <w:lang w:val="en-US"/>
        </w:rPr>
        <w:t>E</w:t>
      </w:r>
      <w:r w:rsidR="004359A9" w:rsidRPr="005F2054">
        <w:rPr>
          <w:rFonts w:ascii="Arial" w:eastAsia="Aptos" w:hAnsi="Arial" w:cs="Arial"/>
          <w:lang w:val="en-US"/>
        </w:rPr>
        <w:t xml:space="preserve">, Hawkins F. Calcitonin and </w:t>
      </w:r>
      <w:r w:rsidR="0007547B" w:rsidRPr="005F2054">
        <w:rPr>
          <w:rFonts w:ascii="Arial" w:eastAsia="Aptos" w:hAnsi="Arial" w:cs="Arial"/>
          <w:lang w:val="en-US"/>
        </w:rPr>
        <w:t>bisphosphonates</w:t>
      </w:r>
      <w:r w:rsidR="004359A9" w:rsidRPr="005F2054">
        <w:rPr>
          <w:rFonts w:ascii="Arial" w:eastAsia="Aptos" w:hAnsi="Arial" w:cs="Arial"/>
          <w:lang w:val="en-US"/>
        </w:rPr>
        <w:t xml:space="preserve"> treatment in bone loss after liver transplantation. </w:t>
      </w:r>
      <w:proofErr w:type="spellStart"/>
      <w:r w:rsidR="004359A9" w:rsidRPr="005F2054">
        <w:rPr>
          <w:rFonts w:ascii="Arial" w:eastAsia="Aptos" w:hAnsi="Arial" w:cs="Arial"/>
          <w:lang w:val="en-US"/>
        </w:rPr>
        <w:t>Calcif</w:t>
      </w:r>
      <w:proofErr w:type="spellEnd"/>
      <w:r w:rsidR="004359A9" w:rsidRPr="005F2054">
        <w:rPr>
          <w:rFonts w:ascii="Arial" w:eastAsia="Aptos" w:hAnsi="Arial" w:cs="Arial"/>
          <w:lang w:val="en-US"/>
        </w:rPr>
        <w:t xml:space="preserve"> Tissue </w:t>
      </w:r>
      <w:r w:rsidR="00E52308">
        <w:rPr>
          <w:rFonts w:ascii="Arial" w:eastAsia="Aptos" w:hAnsi="Arial" w:cs="Arial"/>
          <w:lang w:val="en-US"/>
        </w:rPr>
        <w:t>199</w:t>
      </w:r>
      <w:r w:rsidR="00163E32" w:rsidRPr="005F2054">
        <w:rPr>
          <w:rFonts w:ascii="Arial" w:eastAsia="Aptos" w:hAnsi="Arial" w:cs="Arial"/>
          <w:lang w:val="en-US"/>
        </w:rPr>
        <w:t>5; 57:15</w:t>
      </w:r>
      <w:r w:rsidR="004359A9" w:rsidRPr="005F2054">
        <w:rPr>
          <w:rFonts w:ascii="Arial" w:eastAsia="Aptos" w:hAnsi="Arial" w:cs="Arial"/>
          <w:lang w:val="en-US"/>
        </w:rPr>
        <w:t>-19</w:t>
      </w:r>
    </w:p>
    <w:p w14:paraId="13E0F636" w14:textId="1216580D" w:rsidR="000B593E" w:rsidRPr="005F2054" w:rsidRDefault="005A1471" w:rsidP="005F2054">
      <w:pPr>
        <w:spacing w:after="0"/>
        <w:ind w:left="576" w:hanging="576"/>
        <w:rPr>
          <w:rFonts w:ascii="Arial" w:eastAsia="Aptos" w:hAnsi="Arial" w:cs="Arial"/>
          <w:lang w:val="en-US"/>
        </w:rPr>
      </w:pPr>
      <w:r w:rsidRPr="005F2054">
        <w:rPr>
          <w:rFonts w:ascii="Arial" w:eastAsia="Aptos" w:hAnsi="Arial" w:cs="Arial"/>
          <w:lang w:val="en-US"/>
        </w:rPr>
        <w:t>91</w:t>
      </w:r>
      <w:r w:rsidR="007875C0" w:rsidRPr="005F2054">
        <w:rPr>
          <w:rFonts w:ascii="Arial" w:eastAsia="Aptos" w:hAnsi="Arial" w:cs="Arial"/>
          <w:lang w:val="en-US"/>
        </w:rPr>
        <w:t>.</w:t>
      </w:r>
      <w:r w:rsidR="007147AB">
        <w:rPr>
          <w:rFonts w:ascii="Arial" w:eastAsia="Aptos" w:hAnsi="Arial" w:cs="Arial"/>
          <w:lang w:val="en-US"/>
        </w:rPr>
        <w:t xml:space="preserve">   </w:t>
      </w:r>
      <w:r w:rsidR="007875C0" w:rsidRPr="005F2054">
        <w:rPr>
          <w:rFonts w:ascii="Arial" w:eastAsia="Aptos" w:hAnsi="Arial" w:cs="Arial"/>
          <w:lang w:val="en-US"/>
        </w:rPr>
        <w:t xml:space="preserve"> </w:t>
      </w:r>
      <w:proofErr w:type="spellStart"/>
      <w:r w:rsidR="000B593E" w:rsidRPr="005F2054">
        <w:rPr>
          <w:rFonts w:ascii="Arial" w:eastAsia="Aptos" w:hAnsi="Arial" w:cs="Arial"/>
          <w:lang w:val="en-US"/>
        </w:rPr>
        <w:t>Gilfraguas</w:t>
      </w:r>
      <w:proofErr w:type="spellEnd"/>
      <w:r w:rsidR="000B593E" w:rsidRPr="005F2054">
        <w:rPr>
          <w:rFonts w:ascii="Arial" w:eastAsia="Aptos" w:hAnsi="Arial" w:cs="Arial"/>
          <w:lang w:val="en-US"/>
        </w:rPr>
        <w:t xml:space="preserve"> L, </w:t>
      </w:r>
      <w:proofErr w:type="spellStart"/>
      <w:r w:rsidR="000B593E" w:rsidRPr="005F2054">
        <w:rPr>
          <w:rFonts w:ascii="Arial" w:eastAsia="Aptos" w:hAnsi="Arial" w:cs="Arial"/>
          <w:lang w:val="en-US"/>
        </w:rPr>
        <w:t>Guadalix</w:t>
      </w:r>
      <w:proofErr w:type="spellEnd"/>
      <w:r w:rsidR="000B593E" w:rsidRPr="005F2054">
        <w:rPr>
          <w:rFonts w:ascii="Arial" w:eastAsia="Aptos" w:hAnsi="Arial" w:cs="Arial"/>
          <w:lang w:val="en-US"/>
        </w:rPr>
        <w:t xml:space="preserve"> s, Martinez g, </w:t>
      </w:r>
      <w:proofErr w:type="spellStart"/>
      <w:r w:rsidR="000B593E" w:rsidRPr="005F2054">
        <w:rPr>
          <w:rFonts w:ascii="Arial" w:eastAsia="Aptos" w:hAnsi="Arial" w:cs="Arial"/>
          <w:lang w:val="en-US"/>
        </w:rPr>
        <w:t>Jodar</w:t>
      </w:r>
      <w:proofErr w:type="spellEnd"/>
      <w:r w:rsidR="000B593E" w:rsidRPr="005F2054">
        <w:rPr>
          <w:rFonts w:ascii="Arial" w:eastAsia="Aptos" w:hAnsi="Arial" w:cs="Arial"/>
          <w:lang w:val="en-US"/>
        </w:rPr>
        <w:t xml:space="preserve"> E, Vara J, Gomez Sanchez A, Delgado J, De La Cruz J, Lora d, Hawkins F. Bone loss after heart transplant: effect of alendronate, etidronate, calcitonin and calcium plus vitamin D3. Progress in Transplantation 2012</w:t>
      </w:r>
      <w:r w:rsidR="00F95B4E" w:rsidRPr="005F2054">
        <w:rPr>
          <w:rFonts w:ascii="Arial" w:eastAsia="Aptos" w:hAnsi="Arial" w:cs="Arial"/>
          <w:lang w:val="en-US"/>
        </w:rPr>
        <w:t>;</w:t>
      </w:r>
      <w:r w:rsidR="000B593E" w:rsidRPr="005F2054">
        <w:rPr>
          <w:rFonts w:ascii="Arial" w:eastAsia="Aptos" w:hAnsi="Arial" w:cs="Arial"/>
          <w:lang w:val="en-US"/>
        </w:rPr>
        <w:t xml:space="preserve"> 22; 237-243</w:t>
      </w:r>
    </w:p>
    <w:p w14:paraId="6340E51F" w14:textId="30BDF0E1" w:rsidR="005A4A3B" w:rsidRPr="005F2054" w:rsidRDefault="00431AD4" w:rsidP="005F2054">
      <w:pPr>
        <w:spacing w:after="0"/>
        <w:ind w:left="576" w:hanging="576"/>
        <w:rPr>
          <w:rFonts w:ascii="Arial" w:eastAsia="Aptos" w:hAnsi="Arial" w:cs="Arial"/>
          <w:lang w:val="en-US"/>
        </w:rPr>
      </w:pPr>
      <w:r w:rsidRPr="005F2054">
        <w:rPr>
          <w:rFonts w:ascii="Arial" w:eastAsia="Aptos" w:hAnsi="Arial" w:cs="Arial"/>
          <w:lang w:val="en-US"/>
        </w:rPr>
        <w:t>92.</w:t>
      </w:r>
      <w:r w:rsidR="007147AB">
        <w:rPr>
          <w:rFonts w:ascii="Arial" w:eastAsia="Aptos" w:hAnsi="Arial" w:cs="Arial"/>
          <w:lang w:val="en-US"/>
        </w:rPr>
        <w:t xml:space="preserve">    </w:t>
      </w:r>
      <w:r w:rsidR="007875C0" w:rsidRPr="005F2054">
        <w:rPr>
          <w:rFonts w:ascii="Arial" w:eastAsia="Aptos" w:hAnsi="Arial" w:cs="Arial"/>
          <w:lang w:val="en-US"/>
        </w:rPr>
        <w:t xml:space="preserve">Hauck D, Nery L, O'Connell R, Clifton-Bligh R, Mather A, Girgis CM. Bisphosphonates and bone mineral density in patients with end-stage kidney disease and renal transplants: </w:t>
      </w:r>
      <w:proofErr w:type="gramStart"/>
      <w:r w:rsidR="007875C0" w:rsidRPr="005F2054">
        <w:rPr>
          <w:rFonts w:ascii="Arial" w:eastAsia="Aptos" w:hAnsi="Arial" w:cs="Arial"/>
          <w:lang w:val="en-US"/>
        </w:rPr>
        <w:t>A 15</w:t>
      </w:r>
      <w:proofErr w:type="gramEnd"/>
      <w:r w:rsidR="007875C0" w:rsidRPr="005F2054">
        <w:rPr>
          <w:rFonts w:ascii="Arial" w:eastAsia="Aptos" w:hAnsi="Arial" w:cs="Arial"/>
          <w:lang w:val="en-US"/>
        </w:rPr>
        <w:t>-year single-</w:t>
      </w:r>
      <w:proofErr w:type="spellStart"/>
      <w:r w:rsidR="007875C0" w:rsidRPr="005F2054">
        <w:rPr>
          <w:rFonts w:ascii="Arial" w:eastAsia="Aptos" w:hAnsi="Arial" w:cs="Arial"/>
          <w:lang w:val="en-US"/>
        </w:rPr>
        <w:t>centre</w:t>
      </w:r>
      <w:proofErr w:type="spellEnd"/>
      <w:r w:rsidR="007875C0" w:rsidRPr="005F2054">
        <w:rPr>
          <w:rFonts w:ascii="Arial" w:eastAsia="Aptos" w:hAnsi="Arial" w:cs="Arial"/>
          <w:lang w:val="en-US"/>
        </w:rPr>
        <w:t xml:space="preserve"> experience. Bone Rep. 2022</w:t>
      </w:r>
      <w:r w:rsidR="00F95B4E" w:rsidRPr="005F2054">
        <w:rPr>
          <w:rFonts w:ascii="Arial" w:eastAsia="Aptos" w:hAnsi="Arial" w:cs="Arial"/>
          <w:lang w:val="en-US"/>
        </w:rPr>
        <w:t>;</w:t>
      </w:r>
      <w:r w:rsidR="00163E32" w:rsidRPr="005F2054">
        <w:rPr>
          <w:rFonts w:ascii="Arial" w:eastAsia="Aptos" w:hAnsi="Arial" w:cs="Arial"/>
          <w:lang w:val="en-US"/>
        </w:rPr>
        <w:t xml:space="preserve"> 16:101178</w:t>
      </w:r>
      <w:r w:rsidR="007875C0" w:rsidRPr="005F2054">
        <w:rPr>
          <w:rFonts w:ascii="Arial" w:eastAsia="Aptos" w:hAnsi="Arial" w:cs="Arial"/>
          <w:lang w:val="en-US"/>
        </w:rPr>
        <w:t>.</w:t>
      </w:r>
    </w:p>
    <w:p w14:paraId="06637C19" w14:textId="12B07086" w:rsidR="00163E32" w:rsidRPr="005F2054" w:rsidRDefault="005A1471" w:rsidP="005F2054">
      <w:pPr>
        <w:spacing w:after="0"/>
        <w:ind w:left="576" w:hanging="576"/>
        <w:rPr>
          <w:rFonts w:ascii="Arial" w:eastAsia="Aptos" w:hAnsi="Arial" w:cs="Arial"/>
          <w:lang w:val="en-US"/>
        </w:rPr>
      </w:pPr>
      <w:r w:rsidRPr="005F2054">
        <w:rPr>
          <w:rFonts w:ascii="Arial" w:eastAsia="Aptos" w:hAnsi="Arial" w:cs="Arial"/>
          <w:lang w:val="en-US"/>
        </w:rPr>
        <w:t>9</w:t>
      </w:r>
      <w:r w:rsidR="00C43F9A" w:rsidRPr="005F2054">
        <w:rPr>
          <w:rFonts w:ascii="Arial" w:eastAsia="Aptos" w:hAnsi="Arial" w:cs="Arial"/>
          <w:lang w:val="en-US"/>
        </w:rPr>
        <w:t>3</w:t>
      </w:r>
      <w:r w:rsidR="00163E32" w:rsidRPr="005F2054">
        <w:rPr>
          <w:rFonts w:ascii="Arial" w:eastAsia="Aptos" w:hAnsi="Arial" w:cs="Arial"/>
          <w:lang w:val="en-US"/>
        </w:rPr>
        <w:t>.</w:t>
      </w:r>
      <w:r w:rsidR="007147AB">
        <w:rPr>
          <w:rFonts w:ascii="Arial" w:eastAsia="Aptos" w:hAnsi="Arial" w:cs="Arial"/>
          <w:lang w:val="en-US"/>
        </w:rPr>
        <w:t xml:space="preserve">    </w:t>
      </w:r>
      <w:r w:rsidR="00163E32" w:rsidRPr="005F2054">
        <w:rPr>
          <w:rFonts w:ascii="Arial" w:eastAsia="Aptos" w:hAnsi="Arial" w:cs="Arial"/>
          <w:lang w:val="en-US"/>
        </w:rPr>
        <w:t xml:space="preserve">Torregrosa JV, Fuster d, Gentil MA, </w:t>
      </w:r>
      <w:proofErr w:type="spellStart"/>
      <w:r w:rsidR="00163E32" w:rsidRPr="005F2054">
        <w:rPr>
          <w:rFonts w:ascii="Arial" w:eastAsia="Aptos" w:hAnsi="Arial" w:cs="Arial"/>
          <w:lang w:val="en-US"/>
        </w:rPr>
        <w:t>Marcen</w:t>
      </w:r>
      <w:proofErr w:type="spellEnd"/>
      <w:r w:rsidR="00163E32" w:rsidRPr="005F2054">
        <w:rPr>
          <w:rFonts w:ascii="Arial" w:eastAsia="Aptos" w:hAnsi="Arial" w:cs="Arial"/>
          <w:lang w:val="en-US"/>
        </w:rPr>
        <w:t xml:space="preserve"> R, Guirado L, Zarraga S, Bravo J, Burgos d, </w:t>
      </w:r>
      <w:proofErr w:type="spellStart"/>
      <w:r w:rsidR="00163E32" w:rsidRPr="005F2054">
        <w:rPr>
          <w:rFonts w:ascii="Arial" w:eastAsia="Aptos" w:hAnsi="Arial" w:cs="Arial"/>
          <w:lang w:val="en-US"/>
        </w:rPr>
        <w:t>Monegal</w:t>
      </w:r>
      <w:proofErr w:type="spellEnd"/>
      <w:r w:rsidR="00163E32" w:rsidRPr="005F2054">
        <w:rPr>
          <w:rFonts w:ascii="Arial" w:eastAsia="Aptos" w:hAnsi="Arial" w:cs="Arial"/>
          <w:lang w:val="en-US"/>
        </w:rPr>
        <w:t xml:space="preserve"> A, </w:t>
      </w:r>
      <w:proofErr w:type="spellStart"/>
      <w:r w:rsidR="00163E32" w:rsidRPr="005F2054">
        <w:rPr>
          <w:rFonts w:ascii="Arial" w:eastAsia="Aptos" w:hAnsi="Arial" w:cs="Arial"/>
          <w:lang w:val="en-US"/>
        </w:rPr>
        <w:t>Muxi</w:t>
      </w:r>
      <w:proofErr w:type="spellEnd"/>
      <w:r w:rsidR="00163E32" w:rsidRPr="005F2054">
        <w:rPr>
          <w:rFonts w:ascii="Arial" w:eastAsia="Aptos" w:hAnsi="Arial" w:cs="Arial"/>
          <w:lang w:val="en-US"/>
        </w:rPr>
        <w:t xml:space="preserve"> A, Garcia S. Open-label trial: effect of weekly risedronate </w:t>
      </w:r>
      <w:r w:rsidR="00163E32" w:rsidRPr="005F2054">
        <w:rPr>
          <w:rFonts w:ascii="Arial" w:eastAsia="Aptos" w:hAnsi="Arial" w:cs="Arial"/>
          <w:lang w:val="en-US"/>
        </w:rPr>
        <w:lastRenderedPageBreak/>
        <w:t xml:space="preserve">immediately after </w:t>
      </w:r>
      <w:r w:rsidR="0007547B" w:rsidRPr="005F2054">
        <w:rPr>
          <w:rFonts w:ascii="Arial" w:eastAsia="Aptos" w:hAnsi="Arial" w:cs="Arial"/>
          <w:lang w:val="en-US"/>
        </w:rPr>
        <w:t>transplantation</w:t>
      </w:r>
      <w:r w:rsidR="00163E32" w:rsidRPr="005F2054">
        <w:rPr>
          <w:rFonts w:ascii="Arial" w:eastAsia="Aptos" w:hAnsi="Arial" w:cs="Arial"/>
          <w:lang w:val="en-US"/>
        </w:rPr>
        <w:t xml:space="preserve"> in kidney recipients. Transplantation </w:t>
      </w:r>
      <w:r w:rsidR="002B72DA" w:rsidRPr="005F2054">
        <w:rPr>
          <w:rFonts w:ascii="Arial" w:eastAsia="Aptos" w:hAnsi="Arial" w:cs="Arial"/>
          <w:lang w:val="en-US"/>
        </w:rPr>
        <w:t>2010; 89:1476</w:t>
      </w:r>
      <w:r w:rsidR="00163E32" w:rsidRPr="005F2054">
        <w:rPr>
          <w:rFonts w:ascii="Arial" w:eastAsia="Aptos" w:hAnsi="Arial" w:cs="Arial"/>
          <w:lang w:val="en-US"/>
        </w:rPr>
        <w:t>-81</w:t>
      </w:r>
    </w:p>
    <w:p w14:paraId="21223101" w14:textId="3F98F63F" w:rsidR="00010FDA" w:rsidRPr="005F2054" w:rsidRDefault="00547FF0" w:rsidP="005F2054">
      <w:pPr>
        <w:spacing w:after="0"/>
        <w:ind w:left="576" w:hanging="576"/>
        <w:rPr>
          <w:rFonts w:ascii="Arial" w:hAnsi="Arial" w:cs="Arial"/>
          <w:lang w:val="en-US"/>
        </w:rPr>
      </w:pPr>
      <w:r w:rsidRPr="005F2054">
        <w:rPr>
          <w:rFonts w:ascii="Arial" w:hAnsi="Arial" w:cs="Arial"/>
          <w:lang w:val="en-US"/>
        </w:rPr>
        <w:t>9</w:t>
      </w:r>
      <w:r w:rsidR="00C43F9A" w:rsidRPr="005F2054">
        <w:rPr>
          <w:rFonts w:ascii="Arial" w:hAnsi="Arial" w:cs="Arial"/>
          <w:lang w:val="en-US"/>
        </w:rPr>
        <w:t>4</w:t>
      </w:r>
      <w:r w:rsidR="00010FDA" w:rsidRPr="005F2054">
        <w:rPr>
          <w:rFonts w:ascii="Arial" w:hAnsi="Arial" w:cs="Arial"/>
          <w:lang w:val="en-US"/>
        </w:rPr>
        <w:t>.</w:t>
      </w:r>
      <w:r w:rsidR="007147AB">
        <w:rPr>
          <w:rFonts w:ascii="Arial" w:hAnsi="Arial" w:cs="Arial"/>
          <w:lang w:val="en-US"/>
        </w:rPr>
        <w:t xml:space="preserve">    </w:t>
      </w:r>
      <w:proofErr w:type="spellStart"/>
      <w:r w:rsidR="00010FDA" w:rsidRPr="005F2054">
        <w:rPr>
          <w:rFonts w:ascii="Arial" w:hAnsi="Arial" w:cs="Arial"/>
          <w:lang w:val="en-US"/>
        </w:rPr>
        <w:t>Guadalix</w:t>
      </w:r>
      <w:proofErr w:type="spellEnd"/>
      <w:r w:rsidR="002B72DA" w:rsidRPr="005F2054">
        <w:rPr>
          <w:rFonts w:ascii="Arial" w:hAnsi="Arial" w:cs="Arial"/>
          <w:lang w:val="en-US"/>
        </w:rPr>
        <w:t xml:space="preserve"> S</w:t>
      </w:r>
      <w:r w:rsidR="00010FDA" w:rsidRPr="005F2054">
        <w:rPr>
          <w:rFonts w:ascii="Arial" w:hAnsi="Arial" w:cs="Arial"/>
          <w:lang w:val="en-US"/>
        </w:rPr>
        <w:t xml:space="preserve">, Martinez </w:t>
      </w:r>
      <w:r w:rsidR="002B72DA" w:rsidRPr="005F2054">
        <w:rPr>
          <w:rFonts w:ascii="Arial" w:hAnsi="Arial" w:cs="Arial"/>
          <w:lang w:val="en-US"/>
        </w:rPr>
        <w:t>G</w:t>
      </w:r>
      <w:r w:rsidR="00010FDA" w:rsidRPr="005F2054">
        <w:rPr>
          <w:rFonts w:ascii="Arial" w:hAnsi="Arial" w:cs="Arial"/>
          <w:lang w:val="en-US"/>
        </w:rPr>
        <w:t xml:space="preserve">, Lora </w:t>
      </w:r>
      <w:r w:rsidR="002B72DA" w:rsidRPr="005F2054">
        <w:rPr>
          <w:rFonts w:ascii="Arial" w:hAnsi="Arial" w:cs="Arial"/>
          <w:lang w:val="en-US"/>
        </w:rPr>
        <w:t>D</w:t>
      </w:r>
      <w:r w:rsidR="00010FDA" w:rsidRPr="005F2054">
        <w:rPr>
          <w:rFonts w:ascii="Arial" w:hAnsi="Arial" w:cs="Arial"/>
          <w:lang w:val="en-US"/>
        </w:rPr>
        <w:t xml:space="preserve">, Vargas C, Gomez M, </w:t>
      </w:r>
      <w:proofErr w:type="spellStart"/>
      <w:r w:rsidR="00010FDA" w:rsidRPr="005F2054">
        <w:rPr>
          <w:rFonts w:ascii="Arial" w:hAnsi="Arial" w:cs="Arial"/>
          <w:lang w:val="en-US"/>
        </w:rPr>
        <w:t>Cobaleda</w:t>
      </w:r>
      <w:proofErr w:type="spellEnd"/>
      <w:r w:rsidR="00010FDA" w:rsidRPr="005F2054">
        <w:rPr>
          <w:rFonts w:ascii="Arial" w:hAnsi="Arial" w:cs="Arial"/>
          <w:lang w:val="en-US"/>
        </w:rPr>
        <w:t xml:space="preserve"> B, Moreno e, Hawkins F. Effects of early risedronate treatment on bone mineral density and bone turnover markers after liver transplantation: a prospective </w:t>
      </w:r>
      <w:r w:rsidR="002B72DA" w:rsidRPr="005F2054">
        <w:rPr>
          <w:rFonts w:ascii="Arial" w:hAnsi="Arial" w:cs="Arial"/>
          <w:lang w:val="en-US"/>
        </w:rPr>
        <w:t>single-center</w:t>
      </w:r>
      <w:r w:rsidR="00010FDA" w:rsidRPr="005F2054">
        <w:rPr>
          <w:rFonts w:ascii="Arial" w:hAnsi="Arial" w:cs="Arial"/>
          <w:lang w:val="en-US"/>
        </w:rPr>
        <w:t xml:space="preserve"> study. Transplantation International 2011;24: 657-665</w:t>
      </w:r>
    </w:p>
    <w:p w14:paraId="68DA72ED" w14:textId="4859A766" w:rsidR="004A604F" w:rsidRPr="005F2054" w:rsidRDefault="007875C0" w:rsidP="005F2054">
      <w:pPr>
        <w:spacing w:after="0"/>
        <w:ind w:left="576" w:hanging="576"/>
        <w:rPr>
          <w:rFonts w:ascii="Arial" w:eastAsia="Aptos" w:hAnsi="Arial" w:cs="Arial"/>
          <w:lang w:val="en-US"/>
        </w:rPr>
      </w:pPr>
      <w:r w:rsidRPr="005F2054">
        <w:rPr>
          <w:rFonts w:ascii="Arial" w:hAnsi="Arial" w:cs="Arial"/>
          <w:lang w:val="en-US"/>
        </w:rPr>
        <w:t>9</w:t>
      </w:r>
      <w:r w:rsidR="00C43F9A" w:rsidRPr="005F2054">
        <w:rPr>
          <w:rFonts w:ascii="Arial" w:hAnsi="Arial" w:cs="Arial"/>
          <w:lang w:val="en-US"/>
        </w:rPr>
        <w:t>5</w:t>
      </w:r>
      <w:r w:rsidRPr="005F2054">
        <w:rPr>
          <w:rFonts w:ascii="Arial" w:hAnsi="Arial" w:cs="Arial"/>
          <w:lang w:val="en-US"/>
        </w:rPr>
        <w:t>.</w:t>
      </w:r>
      <w:r w:rsidR="007147AB">
        <w:rPr>
          <w:rFonts w:ascii="Arial" w:hAnsi="Arial" w:cs="Arial"/>
          <w:lang w:val="en-US"/>
        </w:rPr>
        <w:t xml:space="preserve">   </w:t>
      </w:r>
      <w:r w:rsidR="00D23111" w:rsidRPr="005F2054">
        <w:rPr>
          <w:rFonts w:ascii="Arial" w:eastAsia="Aptos" w:hAnsi="Arial" w:cs="Arial"/>
          <w:lang w:val="en-US"/>
        </w:rPr>
        <w:t xml:space="preserve"> Shane E, Cohen A, Stein EM, McMahon DJ, Zhang C, Young P, Pandit K, Staron RB, Verna EC, Brown R, Restaino S, Mancini D. Zoledronic acid versus alendronate for the prevention of bone loss after heart or liver transplantation. J Clin Endocrinol </w:t>
      </w:r>
      <w:proofErr w:type="spellStart"/>
      <w:r w:rsidR="00D23111" w:rsidRPr="005F2054">
        <w:rPr>
          <w:rFonts w:ascii="Arial" w:eastAsia="Aptos" w:hAnsi="Arial" w:cs="Arial"/>
          <w:lang w:val="en-US"/>
        </w:rPr>
        <w:t>Metab</w:t>
      </w:r>
      <w:proofErr w:type="spellEnd"/>
      <w:r w:rsidR="00D23111" w:rsidRPr="005F2054">
        <w:rPr>
          <w:rFonts w:ascii="Arial" w:eastAsia="Aptos" w:hAnsi="Arial" w:cs="Arial"/>
          <w:lang w:val="en-US"/>
        </w:rPr>
        <w:t>. 2012;</w:t>
      </w:r>
      <w:r w:rsidR="00A353E0" w:rsidRPr="005F2054">
        <w:rPr>
          <w:rFonts w:ascii="Arial" w:eastAsia="Aptos" w:hAnsi="Arial" w:cs="Arial"/>
          <w:lang w:val="en-US"/>
        </w:rPr>
        <w:t xml:space="preserve"> 97</w:t>
      </w:r>
      <w:r w:rsidR="00D23111" w:rsidRPr="005F2054">
        <w:rPr>
          <w:rFonts w:ascii="Arial" w:eastAsia="Aptos" w:hAnsi="Arial" w:cs="Arial"/>
          <w:lang w:val="en-US"/>
        </w:rPr>
        <w:t>(12):4481-90.</w:t>
      </w:r>
    </w:p>
    <w:p w14:paraId="56DC290B" w14:textId="26F95DBD" w:rsidR="00C43F9A" w:rsidRPr="005F2054" w:rsidRDefault="00D23111" w:rsidP="005F2054">
      <w:pPr>
        <w:spacing w:after="0"/>
        <w:ind w:left="576" w:hanging="576"/>
        <w:rPr>
          <w:rFonts w:ascii="Arial" w:eastAsia="Aptos" w:hAnsi="Arial" w:cs="Arial"/>
          <w:lang w:val="en-US"/>
        </w:rPr>
      </w:pPr>
      <w:r w:rsidRPr="005F2054">
        <w:rPr>
          <w:rFonts w:ascii="Arial" w:eastAsia="Aptos" w:hAnsi="Arial" w:cs="Arial"/>
          <w:lang w:val="en-US"/>
        </w:rPr>
        <w:t>9</w:t>
      </w:r>
      <w:r w:rsidR="00C43F9A" w:rsidRPr="005F2054">
        <w:rPr>
          <w:rFonts w:ascii="Arial" w:eastAsia="Aptos" w:hAnsi="Arial" w:cs="Arial"/>
          <w:lang w:val="en-US"/>
        </w:rPr>
        <w:t>6</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Ho OTW, Ng WCA, Ow ZGW, Ho YJ, Lim WH, Yong JN, Wang RS, Wong KL, Ng CH, Muthiah MD, Teo CM. Bisphosphonate therapy after liver transplant improves bone mineral density and reduces fracture rates: an updated systematic review and meta-analysis. </w:t>
      </w:r>
      <w:proofErr w:type="spellStart"/>
      <w:r w:rsidRPr="005F2054">
        <w:rPr>
          <w:rFonts w:ascii="Arial" w:eastAsia="Aptos" w:hAnsi="Arial" w:cs="Arial"/>
          <w:lang w:val="en-US"/>
        </w:rPr>
        <w:t>Transpl</w:t>
      </w:r>
      <w:proofErr w:type="spellEnd"/>
      <w:r w:rsidRPr="005F2054">
        <w:rPr>
          <w:rFonts w:ascii="Arial" w:eastAsia="Aptos" w:hAnsi="Arial" w:cs="Arial"/>
          <w:lang w:val="en-US"/>
        </w:rPr>
        <w:t xml:space="preserve"> Int. 2021;</w:t>
      </w:r>
      <w:r w:rsidR="00A353E0" w:rsidRPr="005F2054">
        <w:rPr>
          <w:rFonts w:ascii="Arial" w:eastAsia="Aptos" w:hAnsi="Arial" w:cs="Arial"/>
          <w:lang w:val="en-US"/>
        </w:rPr>
        <w:t xml:space="preserve"> </w:t>
      </w:r>
      <w:r w:rsidRPr="005F2054">
        <w:rPr>
          <w:rFonts w:ascii="Arial" w:eastAsia="Aptos" w:hAnsi="Arial" w:cs="Arial"/>
          <w:lang w:val="en-US"/>
        </w:rPr>
        <w:t>34(8):1386-1396</w:t>
      </w:r>
      <w:r w:rsidR="006D1498" w:rsidRPr="005F2054">
        <w:rPr>
          <w:rFonts w:ascii="Arial" w:eastAsia="Aptos" w:hAnsi="Arial" w:cs="Arial"/>
          <w:lang w:val="en-US"/>
        </w:rPr>
        <w:t xml:space="preserve">  </w:t>
      </w:r>
    </w:p>
    <w:p w14:paraId="727DB207" w14:textId="5436456C" w:rsidR="00D23111" w:rsidRPr="005F2054" w:rsidRDefault="00D23111" w:rsidP="005F2054">
      <w:pPr>
        <w:spacing w:after="0"/>
        <w:ind w:left="576" w:hanging="576"/>
        <w:rPr>
          <w:rFonts w:ascii="Arial" w:eastAsia="Aptos" w:hAnsi="Arial" w:cs="Arial"/>
          <w:lang w:val="en-US"/>
        </w:rPr>
      </w:pPr>
      <w:r w:rsidRPr="005F2054">
        <w:rPr>
          <w:rFonts w:ascii="Arial" w:eastAsia="Aptos" w:hAnsi="Arial" w:cs="Arial"/>
          <w:lang w:val="en-US"/>
        </w:rPr>
        <w:t>9</w:t>
      </w:r>
      <w:r w:rsidR="006D1498" w:rsidRPr="005F2054">
        <w:rPr>
          <w:rFonts w:ascii="Arial" w:eastAsia="Aptos" w:hAnsi="Arial" w:cs="Arial"/>
          <w:lang w:val="en-US"/>
        </w:rPr>
        <w:t>7</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Watts N, </w:t>
      </w:r>
      <w:proofErr w:type="spellStart"/>
      <w:r w:rsidRPr="005F2054">
        <w:rPr>
          <w:rFonts w:ascii="Arial" w:eastAsia="Aptos" w:hAnsi="Arial" w:cs="Arial"/>
          <w:lang w:val="en-US"/>
        </w:rPr>
        <w:t>Freedholm</w:t>
      </w:r>
      <w:proofErr w:type="spellEnd"/>
      <w:r w:rsidRPr="005F2054">
        <w:rPr>
          <w:rFonts w:ascii="Arial" w:eastAsia="Aptos" w:hAnsi="Arial" w:cs="Arial"/>
          <w:lang w:val="en-US"/>
        </w:rPr>
        <w:t xml:space="preserve"> D, </w:t>
      </w:r>
      <w:proofErr w:type="spellStart"/>
      <w:r w:rsidRPr="005F2054">
        <w:rPr>
          <w:rFonts w:ascii="Arial" w:eastAsia="Aptos" w:hAnsi="Arial" w:cs="Arial"/>
          <w:lang w:val="en-US"/>
        </w:rPr>
        <w:t>Daifotis</w:t>
      </w:r>
      <w:proofErr w:type="spellEnd"/>
      <w:r w:rsidRPr="005F2054">
        <w:rPr>
          <w:rFonts w:ascii="Arial" w:eastAsia="Aptos" w:hAnsi="Arial" w:cs="Arial"/>
          <w:lang w:val="en-US"/>
        </w:rPr>
        <w:t xml:space="preserve"> A. The clinical tolerability profile of alendronate. Int J Clin </w:t>
      </w:r>
      <w:proofErr w:type="spellStart"/>
      <w:r w:rsidRPr="005F2054">
        <w:rPr>
          <w:rFonts w:ascii="Arial" w:eastAsia="Aptos" w:hAnsi="Arial" w:cs="Arial"/>
          <w:lang w:val="en-US"/>
        </w:rPr>
        <w:t>Pract</w:t>
      </w:r>
      <w:proofErr w:type="spellEnd"/>
      <w:r w:rsidRPr="005F2054">
        <w:rPr>
          <w:rFonts w:ascii="Arial" w:eastAsia="Aptos" w:hAnsi="Arial" w:cs="Arial"/>
          <w:lang w:val="en-US"/>
        </w:rPr>
        <w:t xml:space="preserve"> Suppl. </w:t>
      </w:r>
      <w:r w:rsidR="00F95B4E" w:rsidRPr="005F2054">
        <w:rPr>
          <w:rFonts w:ascii="Arial" w:eastAsia="Aptos" w:hAnsi="Arial" w:cs="Arial"/>
          <w:lang w:val="en-US"/>
        </w:rPr>
        <w:t>1999; 101:51</w:t>
      </w:r>
      <w:r w:rsidRPr="005F2054">
        <w:rPr>
          <w:rFonts w:ascii="Arial" w:eastAsia="Aptos" w:hAnsi="Arial" w:cs="Arial"/>
          <w:lang w:val="en-US"/>
        </w:rPr>
        <w:t>-61.</w:t>
      </w:r>
    </w:p>
    <w:p w14:paraId="3090E1A9" w14:textId="7A05307E" w:rsidR="006D1498" w:rsidRPr="005F2054" w:rsidRDefault="006D1498" w:rsidP="005F2054">
      <w:pPr>
        <w:spacing w:after="0"/>
        <w:ind w:left="576" w:hanging="576"/>
        <w:rPr>
          <w:rFonts w:ascii="Arial" w:eastAsia="Aptos" w:hAnsi="Arial" w:cs="Arial"/>
          <w:lang w:val="en-US"/>
        </w:rPr>
      </w:pPr>
      <w:r w:rsidRPr="005F2054">
        <w:rPr>
          <w:rFonts w:ascii="Arial" w:eastAsia="Aptos" w:hAnsi="Arial" w:cs="Arial"/>
          <w:lang w:val="en-US"/>
        </w:rPr>
        <w:t>98.</w:t>
      </w:r>
      <w:r w:rsidR="007147AB">
        <w:rPr>
          <w:rFonts w:ascii="Arial" w:eastAsia="Aptos" w:hAnsi="Arial" w:cs="Arial"/>
          <w:lang w:val="en-US"/>
        </w:rPr>
        <w:t xml:space="preserve">    </w:t>
      </w:r>
      <w:proofErr w:type="spellStart"/>
      <w:r w:rsidRPr="005F2054">
        <w:rPr>
          <w:rFonts w:ascii="Arial" w:eastAsia="Aptos" w:hAnsi="Arial" w:cs="Arial"/>
          <w:lang w:val="en-US"/>
        </w:rPr>
        <w:t>Fobelo</w:t>
      </w:r>
      <w:proofErr w:type="spellEnd"/>
      <w:r w:rsidRPr="005F2054">
        <w:rPr>
          <w:rFonts w:ascii="Arial" w:eastAsia="Aptos" w:hAnsi="Arial" w:cs="Arial"/>
          <w:lang w:val="en-US"/>
        </w:rPr>
        <w:t xml:space="preserve"> Lozano MJ, Sánchez-Fidalgo S. Adherence and preference of intravenous zoledronic acid for osteoporosis versus other bisphosphonates. </w:t>
      </w:r>
      <w:proofErr w:type="spellStart"/>
      <w:r w:rsidRPr="005F2054">
        <w:rPr>
          <w:rFonts w:ascii="Arial" w:eastAsia="Aptos" w:hAnsi="Arial" w:cs="Arial"/>
          <w:lang w:val="en-US"/>
        </w:rPr>
        <w:t>Eur</w:t>
      </w:r>
      <w:proofErr w:type="spellEnd"/>
      <w:r w:rsidRPr="005F2054">
        <w:rPr>
          <w:rFonts w:ascii="Arial" w:eastAsia="Aptos" w:hAnsi="Arial" w:cs="Arial"/>
          <w:lang w:val="en-US"/>
        </w:rPr>
        <w:t xml:space="preserve"> J Hosp Pharm. 2019;26(1):4-9. </w:t>
      </w:r>
    </w:p>
    <w:p w14:paraId="1B4DB120" w14:textId="6A160A50" w:rsidR="00B55D90" w:rsidRPr="005F2054" w:rsidRDefault="0055036A" w:rsidP="005F2054">
      <w:pPr>
        <w:spacing w:after="0"/>
        <w:ind w:left="576" w:hanging="576"/>
        <w:rPr>
          <w:rFonts w:ascii="Arial" w:eastAsia="Aptos" w:hAnsi="Arial" w:cs="Arial"/>
          <w:lang w:val="en-US"/>
        </w:rPr>
      </w:pPr>
      <w:r w:rsidRPr="005F2054">
        <w:rPr>
          <w:rFonts w:ascii="Arial" w:hAnsi="Arial" w:cs="Arial"/>
          <w:lang w:val="en-US"/>
        </w:rPr>
        <w:t>99</w:t>
      </w:r>
      <w:r w:rsidR="00B55D90" w:rsidRPr="005F2054">
        <w:rPr>
          <w:rFonts w:ascii="Arial" w:eastAsia="Aptos" w:hAnsi="Arial" w:cs="Arial"/>
          <w:lang w:val="en-US"/>
        </w:rPr>
        <w:t>.</w:t>
      </w:r>
      <w:r w:rsidR="007147AB">
        <w:rPr>
          <w:rFonts w:ascii="Arial" w:eastAsia="Aptos" w:hAnsi="Arial" w:cs="Arial"/>
          <w:lang w:val="en-US"/>
        </w:rPr>
        <w:t xml:space="preserve">   </w:t>
      </w:r>
      <w:r w:rsidR="00D61700" w:rsidRPr="005F2054">
        <w:rPr>
          <w:rFonts w:ascii="Arial" w:eastAsia="Aptos" w:hAnsi="Arial" w:cs="Arial"/>
          <w:lang w:val="en-US"/>
        </w:rPr>
        <w:t xml:space="preserve"> Bone HG, Wagman RB, Brandi ML, Brown JP, </w:t>
      </w:r>
      <w:proofErr w:type="spellStart"/>
      <w:r w:rsidR="00D61700" w:rsidRPr="005F2054">
        <w:rPr>
          <w:rFonts w:ascii="Arial" w:eastAsia="Aptos" w:hAnsi="Arial" w:cs="Arial"/>
          <w:lang w:val="en-US"/>
        </w:rPr>
        <w:t>Chapurlat</w:t>
      </w:r>
      <w:proofErr w:type="spellEnd"/>
      <w:r w:rsidR="00D61700" w:rsidRPr="005F2054">
        <w:rPr>
          <w:rFonts w:ascii="Arial" w:eastAsia="Aptos" w:hAnsi="Arial" w:cs="Arial"/>
          <w:lang w:val="en-US"/>
        </w:rPr>
        <w:t xml:space="preserve"> R, Cummings SR, </w:t>
      </w:r>
      <w:proofErr w:type="spellStart"/>
      <w:r w:rsidR="00D61700" w:rsidRPr="005F2054">
        <w:rPr>
          <w:rFonts w:ascii="Arial" w:eastAsia="Aptos" w:hAnsi="Arial" w:cs="Arial"/>
          <w:lang w:val="en-US"/>
        </w:rPr>
        <w:t>Czerwiński</w:t>
      </w:r>
      <w:proofErr w:type="spellEnd"/>
      <w:r w:rsidR="00D61700" w:rsidRPr="005F2054">
        <w:rPr>
          <w:rFonts w:ascii="Arial" w:eastAsia="Aptos" w:hAnsi="Arial" w:cs="Arial"/>
          <w:lang w:val="en-US"/>
        </w:rPr>
        <w:t xml:space="preserve"> E, </w:t>
      </w:r>
      <w:proofErr w:type="spellStart"/>
      <w:r w:rsidR="00D61700" w:rsidRPr="005F2054">
        <w:rPr>
          <w:rFonts w:ascii="Arial" w:eastAsia="Aptos" w:hAnsi="Arial" w:cs="Arial"/>
          <w:lang w:val="en-US"/>
        </w:rPr>
        <w:t>Fahrleitner</w:t>
      </w:r>
      <w:proofErr w:type="spellEnd"/>
      <w:r w:rsidR="00D61700" w:rsidRPr="005F2054">
        <w:rPr>
          <w:rFonts w:ascii="Arial" w:eastAsia="Aptos" w:hAnsi="Arial" w:cs="Arial"/>
          <w:lang w:val="en-US"/>
        </w:rPr>
        <w:t xml:space="preserve">-Pammer A, Kendler DL, </w:t>
      </w:r>
      <w:proofErr w:type="spellStart"/>
      <w:r w:rsidR="00D61700" w:rsidRPr="005F2054">
        <w:rPr>
          <w:rFonts w:ascii="Arial" w:eastAsia="Aptos" w:hAnsi="Arial" w:cs="Arial"/>
          <w:lang w:val="en-US"/>
        </w:rPr>
        <w:t>Lippuner</w:t>
      </w:r>
      <w:proofErr w:type="spellEnd"/>
      <w:r w:rsidR="00D61700" w:rsidRPr="005F2054">
        <w:rPr>
          <w:rFonts w:ascii="Arial" w:eastAsia="Aptos" w:hAnsi="Arial" w:cs="Arial"/>
          <w:lang w:val="en-US"/>
        </w:rPr>
        <w:t xml:space="preserve"> K, </w:t>
      </w:r>
      <w:proofErr w:type="spellStart"/>
      <w:r w:rsidR="00D61700" w:rsidRPr="005F2054">
        <w:rPr>
          <w:rFonts w:ascii="Arial" w:eastAsia="Aptos" w:hAnsi="Arial" w:cs="Arial"/>
          <w:lang w:val="en-US"/>
        </w:rPr>
        <w:t>Reginster</w:t>
      </w:r>
      <w:proofErr w:type="spellEnd"/>
      <w:r w:rsidR="00D61700" w:rsidRPr="005F2054">
        <w:rPr>
          <w:rFonts w:ascii="Arial" w:eastAsia="Aptos" w:hAnsi="Arial" w:cs="Arial"/>
          <w:lang w:val="en-US"/>
        </w:rPr>
        <w:t xml:space="preserve"> JY, Roux C, Malouf J, Bradley MN, </w:t>
      </w:r>
      <w:proofErr w:type="spellStart"/>
      <w:r w:rsidR="00D61700" w:rsidRPr="005F2054">
        <w:rPr>
          <w:rFonts w:ascii="Arial" w:eastAsia="Aptos" w:hAnsi="Arial" w:cs="Arial"/>
          <w:lang w:val="en-US"/>
        </w:rPr>
        <w:t>Daizadeh</w:t>
      </w:r>
      <w:proofErr w:type="spellEnd"/>
      <w:r w:rsidR="00D61700" w:rsidRPr="005F2054">
        <w:rPr>
          <w:rFonts w:ascii="Arial" w:eastAsia="Aptos" w:hAnsi="Arial" w:cs="Arial"/>
          <w:lang w:val="en-US"/>
        </w:rPr>
        <w:t xml:space="preserve"> NS, Wang A, Dakin P, </w:t>
      </w:r>
      <w:proofErr w:type="spellStart"/>
      <w:r w:rsidR="00D61700" w:rsidRPr="005F2054">
        <w:rPr>
          <w:rFonts w:ascii="Arial" w:eastAsia="Aptos" w:hAnsi="Arial" w:cs="Arial"/>
          <w:lang w:val="en-US"/>
        </w:rPr>
        <w:t>Pannacciulli</w:t>
      </w:r>
      <w:proofErr w:type="spellEnd"/>
      <w:r w:rsidR="00D61700" w:rsidRPr="005F2054">
        <w:rPr>
          <w:rFonts w:ascii="Arial" w:eastAsia="Aptos" w:hAnsi="Arial" w:cs="Arial"/>
          <w:lang w:val="en-US"/>
        </w:rPr>
        <w:t xml:space="preserve"> N, Dempster DW, </w:t>
      </w:r>
      <w:proofErr w:type="spellStart"/>
      <w:r w:rsidR="00D61700" w:rsidRPr="005F2054">
        <w:rPr>
          <w:rFonts w:ascii="Arial" w:eastAsia="Aptos" w:hAnsi="Arial" w:cs="Arial"/>
          <w:lang w:val="en-US"/>
        </w:rPr>
        <w:t>Papapoulos</w:t>
      </w:r>
      <w:proofErr w:type="spellEnd"/>
      <w:r w:rsidR="00D61700" w:rsidRPr="005F2054">
        <w:rPr>
          <w:rFonts w:ascii="Arial" w:eastAsia="Aptos" w:hAnsi="Arial" w:cs="Arial"/>
          <w:lang w:val="en-US"/>
        </w:rPr>
        <w:t xml:space="preserve"> S. 10 years of denosumab treatment in postmenopausal women with osteoporosis: results from the phase 3 </w:t>
      </w:r>
      <w:r w:rsidR="0007547B" w:rsidRPr="005F2054">
        <w:rPr>
          <w:rFonts w:ascii="Arial" w:eastAsia="Aptos" w:hAnsi="Arial" w:cs="Arial"/>
          <w:lang w:val="en-US"/>
        </w:rPr>
        <w:t>randomized</w:t>
      </w:r>
      <w:r w:rsidR="00D61700" w:rsidRPr="005F2054">
        <w:rPr>
          <w:rFonts w:ascii="Arial" w:eastAsia="Aptos" w:hAnsi="Arial" w:cs="Arial"/>
          <w:lang w:val="en-US"/>
        </w:rPr>
        <w:t xml:space="preserve"> FREEDOM trial and open-label extension. Lancet Diabetes Endocrinol. 2017;</w:t>
      </w:r>
      <w:r w:rsidR="00F95B4E" w:rsidRPr="005F2054">
        <w:rPr>
          <w:rFonts w:ascii="Arial" w:eastAsia="Aptos" w:hAnsi="Arial" w:cs="Arial"/>
          <w:lang w:val="en-US"/>
        </w:rPr>
        <w:t xml:space="preserve"> </w:t>
      </w:r>
      <w:r w:rsidR="00D61700" w:rsidRPr="005F2054">
        <w:rPr>
          <w:rFonts w:ascii="Arial" w:eastAsia="Aptos" w:hAnsi="Arial" w:cs="Arial"/>
          <w:lang w:val="en-US"/>
        </w:rPr>
        <w:t>5(7):513-523.</w:t>
      </w:r>
    </w:p>
    <w:p w14:paraId="51BF3142" w14:textId="0031A7B1" w:rsidR="00B55D90" w:rsidRPr="005F2054" w:rsidRDefault="00B336E7" w:rsidP="005F2054">
      <w:pPr>
        <w:spacing w:after="0"/>
        <w:ind w:left="576" w:hanging="576"/>
        <w:rPr>
          <w:rFonts w:ascii="Arial" w:eastAsia="Aptos" w:hAnsi="Arial" w:cs="Arial"/>
          <w:lang w:val="en-US"/>
        </w:rPr>
      </w:pPr>
      <w:r w:rsidRPr="005F2054">
        <w:rPr>
          <w:rFonts w:ascii="Arial" w:hAnsi="Arial" w:cs="Arial"/>
          <w:lang w:val="en-US"/>
        </w:rPr>
        <w:t>10</w:t>
      </w:r>
      <w:r w:rsidR="0055036A" w:rsidRPr="005F2054">
        <w:rPr>
          <w:rFonts w:ascii="Arial" w:hAnsi="Arial" w:cs="Arial"/>
          <w:lang w:val="en-US"/>
        </w:rPr>
        <w:t>0</w:t>
      </w:r>
      <w:r w:rsidR="00B55D90" w:rsidRPr="005F2054">
        <w:rPr>
          <w:rFonts w:ascii="Arial" w:eastAsia="Aptos" w:hAnsi="Arial" w:cs="Arial"/>
          <w:lang w:val="en-US"/>
        </w:rPr>
        <w:t>.</w:t>
      </w:r>
      <w:r w:rsidR="007147AB">
        <w:rPr>
          <w:rFonts w:ascii="Arial" w:eastAsia="Aptos" w:hAnsi="Arial" w:cs="Arial"/>
          <w:lang w:val="en-US"/>
        </w:rPr>
        <w:t xml:space="preserve"> </w:t>
      </w:r>
      <w:r w:rsidR="00B55D90" w:rsidRPr="005F2054">
        <w:rPr>
          <w:rFonts w:ascii="Arial" w:eastAsia="Aptos" w:hAnsi="Arial" w:cs="Arial"/>
          <w:lang w:val="en-US"/>
        </w:rPr>
        <w:t xml:space="preserve"> </w:t>
      </w:r>
      <w:proofErr w:type="spellStart"/>
      <w:r w:rsidR="00B55D90" w:rsidRPr="005F2054">
        <w:rPr>
          <w:rFonts w:ascii="Arial" w:eastAsia="Aptos" w:hAnsi="Arial" w:cs="Arial"/>
          <w:lang w:val="en-US"/>
        </w:rPr>
        <w:t>Bonani</w:t>
      </w:r>
      <w:proofErr w:type="spellEnd"/>
      <w:r w:rsidR="00B55D90" w:rsidRPr="005F2054">
        <w:rPr>
          <w:rFonts w:ascii="Arial" w:eastAsia="Aptos" w:hAnsi="Arial" w:cs="Arial"/>
          <w:lang w:val="en-US"/>
        </w:rPr>
        <w:t xml:space="preserve"> M, Frey D, Brockmann J, Fehr T, Mueller TF, Saleh L, von </w:t>
      </w:r>
      <w:proofErr w:type="spellStart"/>
      <w:r w:rsidR="00B55D90" w:rsidRPr="005F2054">
        <w:rPr>
          <w:rFonts w:ascii="Arial" w:eastAsia="Aptos" w:hAnsi="Arial" w:cs="Arial"/>
          <w:lang w:val="en-US"/>
        </w:rPr>
        <w:t>Eckardstein</w:t>
      </w:r>
      <w:proofErr w:type="spellEnd"/>
      <w:r w:rsidR="00B55D90" w:rsidRPr="005F2054">
        <w:rPr>
          <w:rFonts w:ascii="Arial" w:eastAsia="Aptos" w:hAnsi="Arial" w:cs="Arial"/>
          <w:lang w:val="en-US"/>
        </w:rPr>
        <w:t xml:space="preserve"> A, Graf N, Wüthrich RP. Effect of Twice-Yearly Denosumab on Prevention of Bone Mineral Density Loss in De Novo Kidney Transplant Recipients: A Randomized Controlled Trial. </w:t>
      </w:r>
      <w:proofErr w:type="gramStart"/>
      <w:r w:rsidR="00B55D90" w:rsidRPr="005F2054">
        <w:rPr>
          <w:rFonts w:ascii="Arial" w:eastAsia="Aptos" w:hAnsi="Arial" w:cs="Arial"/>
          <w:lang w:val="en-US"/>
        </w:rPr>
        <w:t>Am</w:t>
      </w:r>
      <w:proofErr w:type="gramEnd"/>
      <w:r w:rsidR="00B55D90" w:rsidRPr="005F2054">
        <w:rPr>
          <w:rFonts w:ascii="Arial" w:eastAsia="Aptos" w:hAnsi="Arial" w:cs="Arial"/>
          <w:lang w:val="en-US"/>
        </w:rPr>
        <w:t xml:space="preserve"> J Transplant. 2016;</w:t>
      </w:r>
      <w:r w:rsidR="00F95B4E" w:rsidRPr="005F2054">
        <w:rPr>
          <w:rFonts w:ascii="Arial" w:eastAsia="Aptos" w:hAnsi="Arial" w:cs="Arial"/>
          <w:lang w:val="en-US"/>
        </w:rPr>
        <w:t xml:space="preserve"> </w:t>
      </w:r>
      <w:r w:rsidR="00B55D90" w:rsidRPr="005F2054">
        <w:rPr>
          <w:rFonts w:ascii="Arial" w:eastAsia="Aptos" w:hAnsi="Arial" w:cs="Arial"/>
          <w:lang w:val="en-US"/>
        </w:rPr>
        <w:t>16(6):1882-91</w:t>
      </w:r>
    </w:p>
    <w:p w14:paraId="7468F253" w14:textId="3477C8D6" w:rsidR="00B55D90" w:rsidRPr="005F2054" w:rsidRDefault="00B336E7" w:rsidP="005F2054">
      <w:pPr>
        <w:spacing w:after="0"/>
        <w:ind w:left="576" w:hanging="576"/>
        <w:rPr>
          <w:rFonts w:ascii="Arial" w:eastAsia="Aptos" w:hAnsi="Arial" w:cs="Arial"/>
          <w:lang w:val="en-US"/>
        </w:rPr>
      </w:pPr>
      <w:r w:rsidRPr="005F2054">
        <w:rPr>
          <w:rFonts w:ascii="Arial" w:hAnsi="Arial" w:cs="Arial"/>
          <w:lang w:val="en-US"/>
        </w:rPr>
        <w:t>10</w:t>
      </w:r>
      <w:r w:rsidR="0055036A" w:rsidRPr="005F2054">
        <w:rPr>
          <w:rFonts w:ascii="Arial" w:hAnsi="Arial" w:cs="Arial"/>
          <w:lang w:val="en-US"/>
        </w:rPr>
        <w:t>1</w:t>
      </w:r>
      <w:r w:rsidR="00B55D90" w:rsidRPr="005F2054">
        <w:rPr>
          <w:rFonts w:ascii="Arial" w:eastAsia="Aptos" w:hAnsi="Arial" w:cs="Arial"/>
          <w:lang w:val="en-US"/>
        </w:rPr>
        <w:t>.</w:t>
      </w:r>
      <w:r w:rsidR="007147AB">
        <w:rPr>
          <w:rFonts w:ascii="Arial" w:eastAsia="Aptos" w:hAnsi="Arial" w:cs="Arial"/>
          <w:lang w:val="en-US"/>
        </w:rPr>
        <w:t xml:space="preserve"> </w:t>
      </w:r>
      <w:r w:rsidR="005D27B8" w:rsidRPr="005F2054">
        <w:rPr>
          <w:rFonts w:ascii="Arial" w:eastAsia="Aptos" w:hAnsi="Arial" w:cs="Arial"/>
          <w:lang w:val="en-US"/>
        </w:rPr>
        <w:t xml:space="preserve"> Alfieri C, Binda V, </w:t>
      </w:r>
      <w:proofErr w:type="spellStart"/>
      <w:r w:rsidR="005D27B8" w:rsidRPr="005F2054">
        <w:rPr>
          <w:rFonts w:ascii="Arial" w:eastAsia="Aptos" w:hAnsi="Arial" w:cs="Arial"/>
          <w:lang w:val="en-US"/>
        </w:rPr>
        <w:t>Malvica</w:t>
      </w:r>
      <w:proofErr w:type="spellEnd"/>
      <w:r w:rsidR="005D27B8" w:rsidRPr="005F2054">
        <w:rPr>
          <w:rFonts w:ascii="Arial" w:eastAsia="Aptos" w:hAnsi="Arial" w:cs="Arial"/>
          <w:lang w:val="en-US"/>
        </w:rPr>
        <w:t xml:space="preserve"> S, </w:t>
      </w:r>
      <w:proofErr w:type="spellStart"/>
      <w:r w:rsidR="005D27B8" w:rsidRPr="005F2054">
        <w:rPr>
          <w:rFonts w:ascii="Arial" w:eastAsia="Aptos" w:hAnsi="Arial" w:cs="Arial"/>
          <w:lang w:val="en-US"/>
        </w:rPr>
        <w:t>Cresseri</w:t>
      </w:r>
      <w:proofErr w:type="spellEnd"/>
      <w:r w:rsidR="005D27B8" w:rsidRPr="005F2054">
        <w:rPr>
          <w:rFonts w:ascii="Arial" w:eastAsia="Aptos" w:hAnsi="Arial" w:cs="Arial"/>
          <w:lang w:val="en-US"/>
        </w:rPr>
        <w:t xml:space="preserve"> D, Campise M, Gandolfo MT, Regalia A, </w:t>
      </w:r>
      <w:proofErr w:type="spellStart"/>
      <w:r w:rsidR="005D27B8" w:rsidRPr="005F2054">
        <w:rPr>
          <w:rFonts w:ascii="Arial" w:eastAsia="Aptos" w:hAnsi="Arial" w:cs="Arial"/>
          <w:lang w:val="en-US"/>
        </w:rPr>
        <w:t>Mattinzoli</w:t>
      </w:r>
      <w:proofErr w:type="spellEnd"/>
      <w:r w:rsidR="005D27B8" w:rsidRPr="005F2054">
        <w:rPr>
          <w:rFonts w:ascii="Arial" w:eastAsia="Aptos" w:hAnsi="Arial" w:cs="Arial"/>
          <w:lang w:val="en-US"/>
        </w:rPr>
        <w:t xml:space="preserve"> D, </w:t>
      </w:r>
      <w:proofErr w:type="spellStart"/>
      <w:r w:rsidR="005D27B8" w:rsidRPr="005F2054">
        <w:rPr>
          <w:rFonts w:ascii="Arial" w:eastAsia="Aptos" w:hAnsi="Arial" w:cs="Arial"/>
          <w:lang w:val="en-US"/>
        </w:rPr>
        <w:t>Armelloni</w:t>
      </w:r>
      <w:proofErr w:type="spellEnd"/>
      <w:r w:rsidR="005D27B8" w:rsidRPr="005F2054">
        <w:rPr>
          <w:rFonts w:ascii="Arial" w:eastAsia="Aptos" w:hAnsi="Arial" w:cs="Arial"/>
          <w:lang w:val="en-US"/>
        </w:rPr>
        <w:t xml:space="preserve"> S, Favi E, Molinari P, Messa P. Bone Effect and Safety of One-Year Denosumab Therapy in a Cohort of Renal Transplanted Patients: An Observational Monocentric Study. J Clin Med. 2021</w:t>
      </w:r>
      <w:r w:rsidR="00814B14" w:rsidRPr="005F2054">
        <w:rPr>
          <w:rFonts w:ascii="Arial" w:eastAsia="Aptos" w:hAnsi="Arial" w:cs="Arial"/>
          <w:lang w:val="en-US"/>
        </w:rPr>
        <w:t xml:space="preserve">; </w:t>
      </w:r>
      <w:r w:rsidR="005D27B8" w:rsidRPr="005F2054">
        <w:rPr>
          <w:rFonts w:ascii="Arial" w:eastAsia="Aptos" w:hAnsi="Arial" w:cs="Arial"/>
          <w:lang w:val="en-US"/>
        </w:rPr>
        <w:t>10(9):1989.</w:t>
      </w:r>
    </w:p>
    <w:p w14:paraId="6D0A70CE" w14:textId="7CDC5E67" w:rsidR="00B55D90" w:rsidRPr="005F2054" w:rsidRDefault="00B55D90" w:rsidP="005F2054">
      <w:pPr>
        <w:spacing w:after="0"/>
        <w:ind w:left="576" w:hanging="576"/>
        <w:rPr>
          <w:rFonts w:ascii="Arial" w:eastAsia="Aptos" w:hAnsi="Arial" w:cs="Arial"/>
          <w:lang w:val="en-US"/>
        </w:rPr>
      </w:pPr>
      <w:r w:rsidRPr="005F2054">
        <w:rPr>
          <w:rFonts w:ascii="Arial" w:eastAsia="Aptos" w:hAnsi="Arial" w:cs="Arial"/>
          <w:lang w:val="en-US"/>
        </w:rPr>
        <w:t>10</w:t>
      </w:r>
      <w:r w:rsidR="0055036A" w:rsidRPr="005F2054">
        <w:rPr>
          <w:rFonts w:ascii="Arial" w:eastAsia="Aptos" w:hAnsi="Arial" w:cs="Arial"/>
          <w:lang w:val="en-US"/>
        </w:rPr>
        <w:t>2</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w:t>
      </w:r>
      <w:proofErr w:type="spellStart"/>
      <w:r w:rsidRPr="005F2054">
        <w:rPr>
          <w:rFonts w:ascii="Arial" w:eastAsia="Aptos" w:hAnsi="Arial" w:cs="Arial"/>
          <w:lang w:val="en-US"/>
        </w:rPr>
        <w:t>Bonani</w:t>
      </w:r>
      <w:proofErr w:type="spellEnd"/>
      <w:r w:rsidRPr="005F2054">
        <w:rPr>
          <w:rFonts w:ascii="Arial" w:eastAsia="Aptos" w:hAnsi="Arial" w:cs="Arial"/>
          <w:lang w:val="en-US"/>
        </w:rPr>
        <w:t xml:space="preserve"> M, Meyer U, Frey D, Graf N, Bischoff-Ferrari HA, Wüthrich RP. Effect of Denosumab on Peripheral Compartmental Bone Density, Microarchitecture and Estimated Bone Strength in De Novo Kidney Transplant Recipients. Kidney Blood Press Res. 2016;41(5):614-622.</w:t>
      </w:r>
    </w:p>
    <w:p w14:paraId="26EE402B" w14:textId="083F5372" w:rsidR="0055036A" w:rsidRPr="005F2054" w:rsidRDefault="0055036A" w:rsidP="005F2054">
      <w:pPr>
        <w:shd w:val="clear" w:color="auto" w:fill="FFFFFF"/>
        <w:spacing w:after="0"/>
        <w:ind w:left="576" w:hanging="576"/>
        <w:rPr>
          <w:rFonts w:ascii="Arial" w:hAnsi="Arial" w:cs="Arial"/>
          <w:lang w:val="en-US"/>
        </w:rPr>
      </w:pPr>
      <w:r w:rsidRPr="005F2054">
        <w:rPr>
          <w:rFonts w:ascii="Arial" w:eastAsia="Aptos" w:hAnsi="Arial" w:cs="Arial"/>
          <w:lang w:val="en-US"/>
        </w:rPr>
        <w:t>103.</w:t>
      </w:r>
      <w:r w:rsidR="007147AB">
        <w:rPr>
          <w:rFonts w:ascii="Arial" w:eastAsia="Aptos" w:hAnsi="Arial" w:cs="Arial"/>
          <w:lang w:val="en-US"/>
        </w:rPr>
        <w:t xml:space="preserve"> </w:t>
      </w:r>
      <w:r w:rsidRPr="005F2054">
        <w:rPr>
          <w:rFonts w:ascii="Arial" w:hAnsi="Arial" w:cs="Arial"/>
          <w:lang w:val="en-US"/>
        </w:rPr>
        <w:t xml:space="preserve"> </w:t>
      </w:r>
      <w:proofErr w:type="spellStart"/>
      <w:r w:rsidRPr="005F2054">
        <w:rPr>
          <w:rFonts w:ascii="Arial" w:hAnsi="Arial" w:cs="Arial"/>
          <w:lang w:val="en-US"/>
        </w:rPr>
        <w:t>Brunova</w:t>
      </w:r>
      <w:proofErr w:type="spellEnd"/>
      <w:r w:rsidRPr="005F2054">
        <w:rPr>
          <w:rFonts w:ascii="Arial" w:hAnsi="Arial" w:cs="Arial"/>
          <w:lang w:val="en-US"/>
        </w:rPr>
        <w:t xml:space="preserve"> J, </w:t>
      </w:r>
      <w:proofErr w:type="spellStart"/>
      <w:r w:rsidRPr="005F2054">
        <w:rPr>
          <w:rFonts w:ascii="Arial" w:hAnsi="Arial" w:cs="Arial"/>
          <w:lang w:val="en-US"/>
        </w:rPr>
        <w:t>Kratochvilova</w:t>
      </w:r>
      <w:proofErr w:type="spellEnd"/>
      <w:r w:rsidRPr="005F2054">
        <w:rPr>
          <w:rFonts w:ascii="Arial" w:hAnsi="Arial" w:cs="Arial"/>
          <w:lang w:val="en-US"/>
        </w:rPr>
        <w:t xml:space="preserve"> S, </w:t>
      </w:r>
      <w:proofErr w:type="spellStart"/>
      <w:r w:rsidRPr="005F2054">
        <w:rPr>
          <w:rFonts w:ascii="Arial" w:hAnsi="Arial" w:cs="Arial"/>
          <w:lang w:val="en-US"/>
        </w:rPr>
        <w:t>Stepankova</w:t>
      </w:r>
      <w:proofErr w:type="spellEnd"/>
      <w:r w:rsidRPr="005F2054">
        <w:rPr>
          <w:rFonts w:ascii="Arial" w:hAnsi="Arial" w:cs="Arial"/>
          <w:lang w:val="en-US"/>
        </w:rPr>
        <w:t xml:space="preserve"> J. Osteoporosis Therapy </w:t>
      </w:r>
      <w:r w:rsidR="0007547B" w:rsidRPr="005F2054">
        <w:rPr>
          <w:rFonts w:ascii="Arial" w:hAnsi="Arial" w:cs="Arial"/>
          <w:lang w:val="en-US"/>
        </w:rPr>
        <w:t>with</w:t>
      </w:r>
      <w:r w:rsidRPr="005F2054">
        <w:rPr>
          <w:rFonts w:ascii="Arial" w:hAnsi="Arial" w:cs="Arial"/>
          <w:lang w:val="en-US"/>
        </w:rPr>
        <w:t xml:space="preserve"> Denosumab in Organ Transplant Recipients. Front Endocrinol (Lausanne). 2018</w:t>
      </w:r>
      <w:r w:rsidR="0020245C" w:rsidRPr="005F2054">
        <w:rPr>
          <w:rFonts w:ascii="Arial" w:hAnsi="Arial" w:cs="Arial"/>
          <w:lang w:val="en-US"/>
        </w:rPr>
        <w:t xml:space="preserve">; </w:t>
      </w:r>
      <w:r w:rsidR="009B6A37" w:rsidRPr="005F2054">
        <w:rPr>
          <w:rFonts w:ascii="Arial" w:eastAsia="Times New Roman" w:hAnsi="Arial" w:cs="Arial"/>
          <w:color w:val="1B1B1B"/>
          <w:shd w:val="clear" w:color="auto" w:fill="FFFFFF"/>
          <w:lang w:val="en-US" w:eastAsia="es-ES"/>
        </w:rPr>
        <w:t>9:162</w:t>
      </w:r>
      <w:r w:rsidR="009B6A37" w:rsidRPr="005F2054">
        <w:rPr>
          <w:rFonts w:ascii="Arial" w:hAnsi="Arial" w:cs="Arial"/>
          <w:lang w:val="en-US"/>
        </w:rPr>
        <w:t xml:space="preserve"> </w:t>
      </w:r>
    </w:p>
    <w:p w14:paraId="1245056A" w14:textId="1C579DD0" w:rsidR="0055036A" w:rsidRPr="005F2054" w:rsidRDefault="0055036A" w:rsidP="005F2054">
      <w:pPr>
        <w:spacing w:after="0"/>
        <w:ind w:left="576" w:hanging="576"/>
        <w:rPr>
          <w:rFonts w:ascii="Arial" w:eastAsia="Aptos" w:hAnsi="Arial" w:cs="Arial"/>
          <w:lang w:val="en-US"/>
        </w:rPr>
      </w:pPr>
      <w:r w:rsidRPr="005F2054">
        <w:rPr>
          <w:rFonts w:ascii="Arial" w:hAnsi="Arial" w:cs="Arial"/>
          <w:lang w:val="en-US"/>
        </w:rPr>
        <w:t>104.</w:t>
      </w:r>
      <w:r w:rsidR="007147AB">
        <w:rPr>
          <w:rFonts w:ascii="Arial" w:hAnsi="Arial" w:cs="Arial"/>
          <w:lang w:val="en-US"/>
        </w:rPr>
        <w:t xml:space="preserve">  </w:t>
      </w:r>
      <w:r w:rsidRPr="005F2054">
        <w:rPr>
          <w:rFonts w:ascii="Arial" w:hAnsi="Arial" w:cs="Arial"/>
          <w:lang w:val="en-US"/>
        </w:rPr>
        <w:t xml:space="preserve">Fassio A, Andreola S, Gatti D, </w:t>
      </w:r>
      <w:proofErr w:type="spellStart"/>
      <w:r w:rsidRPr="005F2054">
        <w:rPr>
          <w:rFonts w:ascii="Arial" w:hAnsi="Arial" w:cs="Arial"/>
          <w:lang w:val="en-US"/>
        </w:rPr>
        <w:t>Pollastri</w:t>
      </w:r>
      <w:proofErr w:type="spellEnd"/>
      <w:r w:rsidRPr="005F2054">
        <w:rPr>
          <w:rFonts w:ascii="Arial" w:hAnsi="Arial" w:cs="Arial"/>
          <w:lang w:val="en-US"/>
        </w:rPr>
        <w:t xml:space="preserve"> F, Gatti M, Fabbrini P, Gambaro G, Ferraro PM, </w:t>
      </w:r>
      <w:proofErr w:type="spellStart"/>
      <w:r w:rsidRPr="005F2054">
        <w:rPr>
          <w:rFonts w:ascii="Arial" w:hAnsi="Arial" w:cs="Arial"/>
          <w:lang w:val="en-US"/>
        </w:rPr>
        <w:t>Caletti</w:t>
      </w:r>
      <w:proofErr w:type="spellEnd"/>
      <w:r w:rsidRPr="005F2054">
        <w:rPr>
          <w:rFonts w:ascii="Arial" w:hAnsi="Arial" w:cs="Arial"/>
          <w:lang w:val="en-US"/>
        </w:rPr>
        <w:t xml:space="preserve"> C, Rossini M, </w:t>
      </w:r>
      <w:proofErr w:type="spellStart"/>
      <w:r w:rsidRPr="005F2054">
        <w:rPr>
          <w:rFonts w:ascii="Arial" w:hAnsi="Arial" w:cs="Arial"/>
          <w:lang w:val="en-US"/>
        </w:rPr>
        <w:t>Viapiana</w:t>
      </w:r>
      <w:proofErr w:type="spellEnd"/>
      <w:r w:rsidRPr="005F2054">
        <w:rPr>
          <w:rFonts w:ascii="Arial" w:hAnsi="Arial" w:cs="Arial"/>
          <w:lang w:val="en-US"/>
        </w:rPr>
        <w:t xml:space="preserve"> O, Bixio R, Adami G. Long-Term Bone Mineral Density Changes in Kidney Transplant Recipients Treated with Denosumab: A Retrospective Study with Nonequivalent Control Group. </w:t>
      </w:r>
      <w:proofErr w:type="spellStart"/>
      <w:r w:rsidRPr="005F2054">
        <w:rPr>
          <w:rFonts w:ascii="Arial" w:hAnsi="Arial" w:cs="Arial"/>
          <w:lang w:val="en-US"/>
        </w:rPr>
        <w:t>Calcif</w:t>
      </w:r>
      <w:proofErr w:type="spellEnd"/>
      <w:r w:rsidRPr="005F2054">
        <w:rPr>
          <w:rFonts w:ascii="Arial" w:hAnsi="Arial" w:cs="Arial"/>
          <w:lang w:val="en-US"/>
        </w:rPr>
        <w:t xml:space="preserve"> Tissue Int. 2024 ;115(1):23-30</w:t>
      </w:r>
    </w:p>
    <w:p w14:paraId="41ED0929" w14:textId="13004463" w:rsidR="0055036A" w:rsidRPr="005F2054" w:rsidRDefault="0055036A" w:rsidP="005F2054">
      <w:pPr>
        <w:spacing w:after="0"/>
        <w:ind w:left="576" w:hanging="576"/>
        <w:rPr>
          <w:rFonts w:ascii="Arial" w:eastAsia="Aptos" w:hAnsi="Arial" w:cs="Arial"/>
          <w:lang w:val="en-US"/>
        </w:rPr>
      </w:pPr>
      <w:r w:rsidRPr="005F2054">
        <w:rPr>
          <w:rFonts w:ascii="Arial" w:eastAsia="Aptos" w:hAnsi="Arial" w:cs="Arial"/>
          <w:lang w:val="en-US"/>
        </w:rPr>
        <w:t>105.</w:t>
      </w:r>
      <w:r w:rsidR="007147AB">
        <w:rPr>
          <w:rFonts w:ascii="Arial" w:eastAsia="Aptos" w:hAnsi="Arial" w:cs="Arial"/>
          <w:lang w:val="en-US"/>
        </w:rPr>
        <w:t xml:space="preserve"> </w:t>
      </w:r>
      <w:r w:rsidRPr="005F2054">
        <w:rPr>
          <w:rFonts w:ascii="Arial" w:hAnsi="Arial" w:cs="Arial"/>
          <w:lang w:val="en-US"/>
        </w:rPr>
        <w:t xml:space="preserve"> McKee H, Ioannidis G, Lau A, Treleaven D, </w:t>
      </w:r>
      <w:proofErr w:type="spellStart"/>
      <w:r w:rsidRPr="005F2054">
        <w:rPr>
          <w:rFonts w:ascii="Arial" w:hAnsi="Arial" w:cs="Arial"/>
          <w:lang w:val="en-US"/>
        </w:rPr>
        <w:t>Gangji</w:t>
      </w:r>
      <w:proofErr w:type="spellEnd"/>
      <w:r w:rsidRPr="005F2054">
        <w:rPr>
          <w:rFonts w:ascii="Arial" w:hAnsi="Arial" w:cs="Arial"/>
          <w:lang w:val="en-US"/>
        </w:rPr>
        <w:t xml:space="preserve"> A, Ribic C, Wong-Pack M, </w:t>
      </w:r>
      <w:proofErr w:type="gramStart"/>
      <w:r w:rsidRPr="005F2054">
        <w:rPr>
          <w:rFonts w:ascii="Arial" w:hAnsi="Arial" w:cs="Arial"/>
          <w:lang w:val="en-US"/>
        </w:rPr>
        <w:t>Papaioannou</w:t>
      </w:r>
      <w:proofErr w:type="gramEnd"/>
      <w:r w:rsidRPr="005F2054">
        <w:rPr>
          <w:rFonts w:ascii="Arial" w:hAnsi="Arial" w:cs="Arial"/>
          <w:lang w:val="en-US"/>
        </w:rPr>
        <w:t xml:space="preserve"> A, Adachi JD. Comparison of the clinical effectiveness and safety between the use of denosumab vs bisphosphonates in renal transplant patients. </w:t>
      </w:r>
      <w:proofErr w:type="spellStart"/>
      <w:r w:rsidRPr="005F2054">
        <w:rPr>
          <w:rFonts w:ascii="Arial" w:hAnsi="Arial" w:cs="Arial"/>
          <w:lang w:val="en-US"/>
        </w:rPr>
        <w:t>Osteoporos</w:t>
      </w:r>
      <w:proofErr w:type="spellEnd"/>
      <w:r w:rsidRPr="005F2054">
        <w:rPr>
          <w:rFonts w:ascii="Arial" w:hAnsi="Arial" w:cs="Arial"/>
          <w:lang w:val="en-US"/>
        </w:rPr>
        <w:t xml:space="preserve"> Int. 2020</w:t>
      </w:r>
      <w:r w:rsidR="0020245C" w:rsidRPr="005F2054">
        <w:rPr>
          <w:rFonts w:ascii="Arial" w:hAnsi="Arial" w:cs="Arial"/>
          <w:lang w:val="en-US"/>
        </w:rPr>
        <w:t xml:space="preserve">; </w:t>
      </w:r>
      <w:r w:rsidRPr="005F2054">
        <w:rPr>
          <w:rFonts w:ascii="Arial" w:hAnsi="Arial" w:cs="Arial"/>
          <w:lang w:val="en-US"/>
        </w:rPr>
        <w:t xml:space="preserve">31(5):973-980. </w:t>
      </w:r>
    </w:p>
    <w:p w14:paraId="24E0FD51" w14:textId="62D295C0" w:rsidR="00BA0284" w:rsidRPr="005F2054" w:rsidRDefault="00BA0284" w:rsidP="005F2054">
      <w:pPr>
        <w:spacing w:after="0"/>
        <w:ind w:left="576" w:hanging="576"/>
        <w:rPr>
          <w:rFonts w:ascii="Arial" w:eastAsia="Aptos" w:hAnsi="Arial" w:cs="Arial"/>
          <w:lang w:val="en-US"/>
        </w:rPr>
      </w:pPr>
      <w:r w:rsidRPr="005F2054">
        <w:rPr>
          <w:rFonts w:ascii="Arial" w:eastAsia="Aptos" w:hAnsi="Arial" w:cs="Arial"/>
          <w:lang w:val="en-US"/>
        </w:rPr>
        <w:lastRenderedPageBreak/>
        <w:t>10</w:t>
      </w:r>
      <w:r w:rsidR="0055036A" w:rsidRPr="005F2054">
        <w:rPr>
          <w:rFonts w:ascii="Arial" w:eastAsia="Aptos" w:hAnsi="Arial" w:cs="Arial"/>
          <w:lang w:val="en-US"/>
        </w:rPr>
        <w:t>6</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w:t>
      </w:r>
      <w:proofErr w:type="spellStart"/>
      <w:r w:rsidRPr="005F2054">
        <w:rPr>
          <w:rFonts w:ascii="Arial" w:eastAsia="Aptos" w:hAnsi="Arial" w:cs="Arial"/>
          <w:lang w:val="en-US"/>
        </w:rPr>
        <w:t>Teh</w:t>
      </w:r>
      <w:proofErr w:type="spellEnd"/>
      <w:r w:rsidRPr="005F2054">
        <w:rPr>
          <w:rFonts w:ascii="Arial" w:eastAsia="Aptos" w:hAnsi="Arial" w:cs="Arial"/>
          <w:lang w:val="en-US"/>
        </w:rPr>
        <w:t xml:space="preserve"> JW, Mac </w:t>
      </w:r>
      <w:proofErr w:type="spellStart"/>
      <w:r w:rsidRPr="005F2054">
        <w:rPr>
          <w:rFonts w:ascii="Arial" w:eastAsia="Aptos" w:hAnsi="Arial" w:cs="Arial"/>
          <w:lang w:val="en-US"/>
        </w:rPr>
        <w:t>Gearailt</w:t>
      </w:r>
      <w:proofErr w:type="spellEnd"/>
      <w:r w:rsidRPr="005F2054">
        <w:rPr>
          <w:rFonts w:ascii="Arial" w:eastAsia="Aptos" w:hAnsi="Arial" w:cs="Arial"/>
          <w:lang w:val="en-US"/>
        </w:rPr>
        <w:t xml:space="preserve"> C, Lappin DWP. Post-Transplant Bone Disease in Kidney Transplant Recipients: Diagnosis and Management. Int J Mol Sci. 2024;25(3):1859.</w:t>
      </w:r>
    </w:p>
    <w:p w14:paraId="1B2F3A2C" w14:textId="611493F3" w:rsidR="00B55D90" w:rsidRPr="005F2054" w:rsidRDefault="003F12BD" w:rsidP="005F2054">
      <w:pPr>
        <w:spacing w:after="0"/>
        <w:ind w:left="576" w:hanging="576"/>
        <w:rPr>
          <w:rFonts w:ascii="Arial" w:eastAsia="Aptos" w:hAnsi="Arial" w:cs="Arial"/>
          <w:lang w:val="en-US"/>
        </w:rPr>
      </w:pPr>
      <w:r w:rsidRPr="005F2054">
        <w:rPr>
          <w:rFonts w:ascii="Arial" w:hAnsi="Arial" w:cs="Arial"/>
          <w:lang w:val="en-US"/>
        </w:rPr>
        <w:t>10</w:t>
      </w:r>
      <w:r w:rsidR="00B336E7" w:rsidRPr="005F2054">
        <w:rPr>
          <w:rFonts w:ascii="Arial" w:hAnsi="Arial" w:cs="Arial"/>
          <w:lang w:val="en-US"/>
        </w:rPr>
        <w:t>7</w:t>
      </w:r>
      <w:r w:rsidRPr="005F2054">
        <w:rPr>
          <w:rFonts w:ascii="Arial" w:hAnsi="Arial" w:cs="Arial"/>
          <w:lang w:val="en-US"/>
        </w:rPr>
        <w:t>.</w:t>
      </w:r>
      <w:r w:rsidR="007147AB">
        <w:rPr>
          <w:rFonts w:ascii="Arial" w:hAnsi="Arial" w:cs="Arial"/>
          <w:lang w:val="en-US"/>
        </w:rPr>
        <w:t xml:space="preserve"> </w:t>
      </w:r>
      <w:r w:rsidRPr="005F2054">
        <w:rPr>
          <w:rFonts w:ascii="Arial" w:eastAsia="Aptos" w:hAnsi="Arial" w:cs="Arial"/>
          <w:lang w:val="en-US"/>
        </w:rPr>
        <w:t xml:space="preserve"> Jamal SA, Ljunggren O, Stehman-Breen C, Cummings SR, McClung MR, </w:t>
      </w:r>
      <w:proofErr w:type="spellStart"/>
      <w:r w:rsidRPr="005F2054">
        <w:rPr>
          <w:rFonts w:ascii="Arial" w:eastAsia="Aptos" w:hAnsi="Arial" w:cs="Arial"/>
          <w:lang w:val="en-US"/>
        </w:rPr>
        <w:t>Goemaere</w:t>
      </w:r>
      <w:proofErr w:type="spellEnd"/>
      <w:r w:rsidRPr="005F2054">
        <w:rPr>
          <w:rFonts w:ascii="Arial" w:eastAsia="Aptos" w:hAnsi="Arial" w:cs="Arial"/>
          <w:lang w:val="en-US"/>
        </w:rPr>
        <w:t xml:space="preserve"> S, Ebeling PR, Franek E, Yang YC, Egbuna OI, Boonen S, Miller PD. Effects of denosumab on fracture and bone mineral density by level of kidney function. J Bone Miner Res. 2011;26(8):1829-35</w:t>
      </w:r>
    </w:p>
    <w:p w14:paraId="346B6C7D" w14:textId="63B78451" w:rsidR="003F12BD" w:rsidRPr="005F2054" w:rsidRDefault="003F12BD" w:rsidP="005F2054">
      <w:pPr>
        <w:spacing w:after="0"/>
        <w:ind w:left="576" w:hanging="576"/>
        <w:rPr>
          <w:rFonts w:ascii="Arial" w:eastAsia="Aptos" w:hAnsi="Arial" w:cs="Arial"/>
          <w:lang w:val="en-US"/>
        </w:rPr>
      </w:pPr>
      <w:r w:rsidRPr="005F2054">
        <w:rPr>
          <w:rFonts w:ascii="Arial" w:eastAsia="Aptos" w:hAnsi="Arial" w:cs="Arial"/>
          <w:lang w:val="en-US"/>
        </w:rPr>
        <w:t>10</w:t>
      </w:r>
      <w:r w:rsidR="00B336E7" w:rsidRPr="005F2054">
        <w:rPr>
          <w:rFonts w:ascii="Arial" w:eastAsia="Aptos" w:hAnsi="Arial" w:cs="Arial"/>
          <w:lang w:val="en-US"/>
        </w:rPr>
        <w:t>8</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Ebina K, Etani Y, Noguchi T, Nakata K, Okada S. Clinical effects of teriparatide, </w:t>
      </w:r>
      <w:proofErr w:type="spellStart"/>
      <w:r w:rsidRPr="005F2054">
        <w:rPr>
          <w:rFonts w:ascii="Arial" w:eastAsia="Aptos" w:hAnsi="Arial" w:cs="Arial"/>
          <w:lang w:val="en-US"/>
        </w:rPr>
        <w:t>abaloparatide</w:t>
      </w:r>
      <w:proofErr w:type="spellEnd"/>
      <w:r w:rsidRPr="005F2054">
        <w:rPr>
          <w:rFonts w:ascii="Arial" w:eastAsia="Aptos" w:hAnsi="Arial" w:cs="Arial"/>
          <w:lang w:val="en-US"/>
        </w:rPr>
        <w:t xml:space="preserve">, and </w:t>
      </w:r>
      <w:proofErr w:type="spellStart"/>
      <w:r w:rsidRPr="005F2054">
        <w:rPr>
          <w:rFonts w:ascii="Arial" w:eastAsia="Aptos" w:hAnsi="Arial" w:cs="Arial"/>
          <w:lang w:val="en-US"/>
        </w:rPr>
        <w:t>romosozumab</w:t>
      </w:r>
      <w:proofErr w:type="spellEnd"/>
      <w:r w:rsidRPr="005F2054">
        <w:rPr>
          <w:rFonts w:ascii="Arial" w:eastAsia="Aptos" w:hAnsi="Arial" w:cs="Arial"/>
          <w:lang w:val="en-US"/>
        </w:rPr>
        <w:t xml:space="preserve"> in postmenopausal osteoporosis. </w:t>
      </w:r>
      <w:r w:rsidR="00814B14" w:rsidRPr="005F2054">
        <w:rPr>
          <w:rFonts w:ascii="Arial" w:hAnsi="Arial" w:cs="Arial"/>
          <w:shd w:val="clear" w:color="auto" w:fill="FFFFFF"/>
          <w:lang w:val="en-US"/>
        </w:rPr>
        <w:t xml:space="preserve">J Bone Miner </w:t>
      </w:r>
      <w:proofErr w:type="spellStart"/>
      <w:r w:rsidR="00814B14" w:rsidRPr="005F2054">
        <w:rPr>
          <w:rFonts w:ascii="Arial" w:hAnsi="Arial" w:cs="Arial"/>
          <w:shd w:val="clear" w:color="auto" w:fill="FFFFFF"/>
          <w:lang w:val="en-US"/>
        </w:rPr>
        <w:t>Metab</w:t>
      </w:r>
      <w:proofErr w:type="spellEnd"/>
      <w:r w:rsidR="00814B14" w:rsidRPr="005F2054">
        <w:rPr>
          <w:rFonts w:ascii="Arial" w:hAnsi="Arial" w:cs="Arial"/>
          <w:shd w:val="clear" w:color="auto" w:fill="FFFFFF"/>
          <w:lang w:val="en-US"/>
        </w:rPr>
        <w:t xml:space="preserve">. 2024. </w:t>
      </w:r>
      <w:proofErr w:type="spellStart"/>
      <w:r w:rsidR="00814B14" w:rsidRPr="005F2054">
        <w:rPr>
          <w:rFonts w:ascii="Arial" w:hAnsi="Arial" w:cs="Arial"/>
          <w:shd w:val="clear" w:color="auto" w:fill="FFFFFF"/>
          <w:lang w:val="en-US"/>
        </w:rPr>
        <w:t>doi</w:t>
      </w:r>
      <w:proofErr w:type="spellEnd"/>
      <w:r w:rsidR="00814B14" w:rsidRPr="005F2054">
        <w:rPr>
          <w:rFonts w:ascii="Arial" w:hAnsi="Arial" w:cs="Arial"/>
          <w:shd w:val="clear" w:color="auto" w:fill="FFFFFF"/>
          <w:lang w:val="en-US"/>
        </w:rPr>
        <w:t xml:space="preserve">: 10.1007/s00774-024-01536-0. </w:t>
      </w:r>
      <w:proofErr w:type="spellStart"/>
      <w:r w:rsidR="00A86969" w:rsidRPr="005F2054">
        <w:rPr>
          <w:rFonts w:ascii="Arial" w:hAnsi="Arial" w:cs="Arial"/>
          <w:shd w:val="clear" w:color="auto" w:fill="FFFFFF"/>
          <w:lang w:val="en-US"/>
        </w:rPr>
        <w:t>Epub</w:t>
      </w:r>
      <w:proofErr w:type="spellEnd"/>
      <w:r w:rsidR="00A86969" w:rsidRPr="005F2054">
        <w:rPr>
          <w:rFonts w:ascii="Arial" w:hAnsi="Arial" w:cs="Arial"/>
          <w:shd w:val="clear" w:color="auto" w:fill="FFFFFF"/>
          <w:lang w:val="en-US"/>
        </w:rPr>
        <w:t xml:space="preserve"> </w:t>
      </w:r>
      <w:r w:rsidR="00814B14" w:rsidRPr="005F2054">
        <w:rPr>
          <w:rFonts w:ascii="Arial" w:hAnsi="Arial" w:cs="Arial"/>
          <w:shd w:val="clear" w:color="auto" w:fill="FFFFFF"/>
          <w:lang w:val="en-US"/>
        </w:rPr>
        <w:t>ahead of print.</w:t>
      </w:r>
    </w:p>
    <w:p w14:paraId="7639D971" w14:textId="6FF824B2" w:rsidR="003F12BD" w:rsidRPr="005F2054" w:rsidRDefault="003F12BD" w:rsidP="005F2054">
      <w:pPr>
        <w:spacing w:after="0"/>
        <w:ind w:left="576" w:hanging="576"/>
        <w:rPr>
          <w:rFonts w:ascii="Arial" w:eastAsia="Aptos" w:hAnsi="Arial" w:cs="Arial"/>
          <w:lang w:val="en-US"/>
        </w:rPr>
      </w:pPr>
      <w:r w:rsidRPr="005F2054">
        <w:rPr>
          <w:rFonts w:ascii="Arial" w:eastAsia="Aptos" w:hAnsi="Arial" w:cs="Arial"/>
          <w:lang w:val="en-US"/>
        </w:rPr>
        <w:t>10</w:t>
      </w:r>
      <w:r w:rsidR="00B336E7" w:rsidRPr="005F2054">
        <w:rPr>
          <w:rFonts w:ascii="Arial" w:eastAsia="Aptos" w:hAnsi="Arial" w:cs="Arial"/>
          <w:lang w:val="en-US"/>
        </w:rPr>
        <w:t>9</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Cejka D, Benesch T, </w:t>
      </w:r>
      <w:proofErr w:type="spellStart"/>
      <w:r w:rsidRPr="005F2054">
        <w:rPr>
          <w:rFonts w:ascii="Arial" w:eastAsia="Aptos" w:hAnsi="Arial" w:cs="Arial"/>
          <w:lang w:val="en-US"/>
        </w:rPr>
        <w:t>Krestan</w:t>
      </w:r>
      <w:proofErr w:type="spellEnd"/>
      <w:r w:rsidRPr="005F2054">
        <w:rPr>
          <w:rFonts w:ascii="Arial" w:eastAsia="Aptos" w:hAnsi="Arial" w:cs="Arial"/>
          <w:lang w:val="en-US"/>
        </w:rPr>
        <w:t xml:space="preserve"> C, </w:t>
      </w:r>
      <w:proofErr w:type="spellStart"/>
      <w:r w:rsidRPr="005F2054">
        <w:rPr>
          <w:rFonts w:ascii="Arial" w:eastAsia="Aptos" w:hAnsi="Arial" w:cs="Arial"/>
          <w:lang w:val="en-US"/>
        </w:rPr>
        <w:t>Roschger</w:t>
      </w:r>
      <w:proofErr w:type="spellEnd"/>
      <w:r w:rsidRPr="005F2054">
        <w:rPr>
          <w:rFonts w:ascii="Arial" w:eastAsia="Aptos" w:hAnsi="Arial" w:cs="Arial"/>
          <w:lang w:val="en-US"/>
        </w:rPr>
        <w:t xml:space="preserve"> P, </w:t>
      </w:r>
      <w:proofErr w:type="spellStart"/>
      <w:r w:rsidRPr="005F2054">
        <w:rPr>
          <w:rFonts w:ascii="Arial" w:eastAsia="Aptos" w:hAnsi="Arial" w:cs="Arial"/>
          <w:lang w:val="en-US"/>
        </w:rPr>
        <w:t>Klaushofer</w:t>
      </w:r>
      <w:proofErr w:type="spellEnd"/>
      <w:r w:rsidRPr="005F2054">
        <w:rPr>
          <w:rFonts w:ascii="Arial" w:eastAsia="Aptos" w:hAnsi="Arial" w:cs="Arial"/>
          <w:lang w:val="en-US"/>
        </w:rPr>
        <w:t xml:space="preserve"> K, Pietschmann P, Haas M. Effect of teriparatide on early bone loss after kidney transplantation. </w:t>
      </w:r>
      <w:proofErr w:type="gramStart"/>
      <w:r w:rsidRPr="005F2054">
        <w:rPr>
          <w:rFonts w:ascii="Arial" w:eastAsia="Aptos" w:hAnsi="Arial" w:cs="Arial"/>
          <w:lang w:val="en-US"/>
        </w:rPr>
        <w:t>Am</w:t>
      </w:r>
      <w:proofErr w:type="gramEnd"/>
      <w:r w:rsidRPr="005F2054">
        <w:rPr>
          <w:rFonts w:ascii="Arial" w:eastAsia="Aptos" w:hAnsi="Arial" w:cs="Arial"/>
          <w:lang w:val="en-US"/>
        </w:rPr>
        <w:t xml:space="preserve"> J Transplant. 2008</w:t>
      </w:r>
      <w:r w:rsidR="00814B14" w:rsidRPr="005F2054">
        <w:rPr>
          <w:rFonts w:ascii="Arial" w:eastAsia="Aptos" w:hAnsi="Arial" w:cs="Arial"/>
          <w:lang w:val="en-US"/>
        </w:rPr>
        <w:t>;</w:t>
      </w:r>
      <w:r w:rsidRPr="005F2054">
        <w:rPr>
          <w:rFonts w:ascii="Arial" w:eastAsia="Aptos" w:hAnsi="Arial" w:cs="Arial"/>
          <w:lang w:val="en-US"/>
        </w:rPr>
        <w:t>8(9):1864-70.</w:t>
      </w:r>
    </w:p>
    <w:p w14:paraId="2DBC30C1" w14:textId="51E174EA" w:rsidR="003F12BD" w:rsidRPr="005F2054" w:rsidRDefault="003F12BD" w:rsidP="005F2054">
      <w:pPr>
        <w:shd w:val="clear" w:color="auto" w:fill="FFFFFF"/>
        <w:spacing w:after="0"/>
        <w:ind w:left="576" w:hanging="576"/>
        <w:rPr>
          <w:rFonts w:ascii="Arial" w:eastAsia="Aptos" w:hAnsi="Arial" w:cs="Arial"/>
          <w:lang w:val="en-US"/>
        </w:rPr>
      </w:pPr>
      <w:r w:rsidRPr="005F2054">
        <w:rPr>
          <w:rFonts w:ascii="Arial" w:eastAsia="Aptos" w:hAnsi="Arial" w:cs="Arial"/>
          <w:lang w:val="en-US"/>
        </w:rPr>
        <w:t>1</w:t>
      </w:r>
      <w:r w:rsidR="00B336E7" w:rsidRPr="005F2054">
        <w:rPr>
          <w:rFonts w:ascii="Arial" w:eastAsia="Aptos" w:hAnsi="Arial" w:cs="Arial"/>
          <w:lang w:val="en-US"/>
        </w:rPr>
        <w:t>10</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Vetrano D, Aguanno F, </w:t>
      </w:r>
      <w:proofErr w:type="spellStart"/>
      <w:r w:rsidRPr="005F2054">
        <w:rPr>
          <w:rFonts w:ascii="Arial" w:eastAsia="Aptos" w:hAnsi="Arial" w:cs="Arial"/>
          <w:lang w:val="en-US"/>
        </w:rPr>
        <w:t>Passaseo</w:t>
      </w:r>
      <w:proofErr w:type="spellEnd"/>
      <w:r w:rsidRPr="005F2054">
        <w:rPr>
          <w:rFonts w:ascii="Arial" w:eastAsia="Aptos" w:hAnsi="Arial" w:cs="Arial"/>
          <w:lang w:val="en-US"/>
        </w:rPr>
        <w:t xml:space="preserve"> A, Barbuto S, </w:t>
      </w:r>
      <w:proofErr w:type="spellStart"/>
      <w:r w:rsidRPr="005F2054">
        <w:rPr>
          <w:rFonts w:ascii="Arial" w:eastAsia="Aptos" w:hAnsi="Arial" w:cs="Arial"/>
          <w:lang w:val="en-US"/>
        </w:rPr>
        <w:t>Tondolo</w:t>
      </w:r>
      <w:proofErr w:type="spellEnd"/>
      <w:r w:rsidRPr="005F2054">
        <w:rPr>
          <w:rFonts w:ascii="Arial" w:eastAsia="Aptos" w:hAnsi="Arial" w:cs="Arial"/>
          <w:lang w:val="en-US"/>
        </w:rPr>
        <w:t xml:space="preserve"> F, Catalano V, </w:t>
      </w:r>
      <w:proofErr w:type="spellStart"/>
      <w:r w:rsidRPr="005F2054">
        <w:rPr>
          <w:rFonts w:ascii="Arial" w:eastAsia="Aptos" w:hAnsi="Arial" w:cs="Arial"/>
          <w:lang w:val="en-US"/>
        </w:rPr>
        <w:t>Zavatta</w:t>
      </w:r>
      <w:proofErr w:type="spellEnd"/>
      <w:r w:rsidRPr="005F2054">
        <w:rPr>
          <w:rFonts w:ascii="Arial" w:eastAsia="Aptos" w:hAnsi="Arial" w:cs="Arial"/>
          <w:lang w:val="en-US"/>
        </w:rPr>
        <w:t xml:space="preserve"> G, Pagotto U, La Manna G, Cianciolo G. Efficacy and safety of teriparatide in kidney transplant recipients with osteoporosis and low bone turnover: a real-world experience. Int </w:t>
      </w:r>
      <w:proofErr w:type="spellStart"/>
      <w:r w:rsidRPr="005F2054">
        <w:rPr>
          <w:rFonts w:ascii="Arial" w:eastAsia="Aptos" w:hAnsi="Arial" w:cs="Arial"/>
          <w:lang w:val="en-US"/>
        </w:rPr>
        <w:t>Urol</w:t>
      </w:r>
      <w:proofErr w:type="spellEnd"/>
      <w:r w:rsidRPr="005F2054">
        <w:rPr>
          <w:rFonts w:ascii="Arial" w:eastAsia="Aptos" w:hAnsi="Arial" w:cs="Arial"/>
          <w:lang w:val="en-US"/>
        </w:rPr>
        <w:t xml:space="preserve"> Nephrol. 2025</w:t>
      </w:r>
      <w:r w:rsidR="00814B14" w:rsidRPr="005F2054">
        <w:rPr>
          <w:rFonts w:ascii="Arial" w:eastAsia="Aptos" w:hAnsi="Arial" w:cs="Arial"/>
          <w:lang w:val="en-US"/>
        </w:rPr>
        <w:t>.</w:t>
      </w:r>
      <w:r w:rsidRPr="005F2054">
        <w:rPr>
          <w:rFonts w:ascii="Arial" w:eastAsia="Aptos" w:hAnsi="Arial" w:cs="Arial"/>
          <w:lang w:val="en-US"/>
        </w:rPr>
        <w:t xml:space="preserve"> </w:t>
      </w:r>
      <w:proofErr w:type="spellStart"/>
      <w:r w:rsidR="00A86969" w:rsidRPr="005F2054">
        <w:rPr>
          <w:rFonts w:ascii="Arial" w:hAnsi="Arial" w:cs="Arial"/>
          <w:shd w:val="clear" w:color="auto" w:fill="FFFFFF"/>
          <w:lang w:val="en-US"/>
        </w:rPr>
        <w:t>doi</w:t>
      </w:r>
      <w:proofErr w:type="spellEnd"/>
      <w:r w:rsidR="00A86969" w:rsidRPr="005F2054">
        <w:rPr>
          <w:rFonts w:ascii="Arial" w:hAnsi="Arial" w:cs="Arial"/>
          <w:shd w:val="clear" w:color="auto" w:fill="FFFFFF"/>
          <w:lang w:val="en-US"/>
        </w:rPr>
        <w:t>: 10.1007/s11255-025-04383-8</w:t>
      </w:r>
      <w:r w:rsidR="00A86969" w:rsidRPr="005F2054">
        <w:rPr>
          <w:rFonts w:ascii="Arial" w:eastAsia="Aptos" w:hAnsi="Arial" w:cs="Arial"/>
          <w:lang w:val="en-US"/>
        </w:rPr>
        <w:t xml:space="preserve"> </w:t>
      </w:r>
      <w:proofErr w:type="spellStart"/>
      <w:r w:rsidRPr="005F2054">
        <w:rPr>
          <w:rFonts w:ascii="Arial" w:eastAsia="Aptos" w:hAnsi="Arial" w:cs="Arial"/>
          <w:lang w:val="en-US"/>
        </w:rPr>
        <w:t>Epub</w:t>
      </w:r>
      <w:proofErr w:type="spellEnd"/>
      <w:r w:rsidRPr="005F2054">
        <w:rPr>
          <w:rFonts w:ascii="Arial" w:eastAsia="Aptos" w:hAnsi="Arial" w:cs="Arial"/>
          <w:lang w:val="en-US"/>
        </w:rPr>
        <w:t xml:space="preserve"> ahead of print. </w:t>
      </w:r>
    </w:p>
    <w:p w14:paraId="75AD5907" w14:textId="63F8E9F9" w:rsidR="003F12BD" w:rsidRPr="005F2054" w:rsidRDefault="003F12BD" w:rsidP="005F2054">
      <w:pPr>
        <w:spacing w:after="0"/>
        <w:ind w:left="576" w:hanging="576"/>
        <w:rPr>
          <w:rFonts w:ascii="Arial" w:eastAsia="Aptos" w:hAnsi="Arial" w:cs="Arial"/>
          <w:lang w:val="en-US"/>
        </w:rPr>
      </w:pPr>
      <w:r w:rsidRPr="005F2054">
        <w:rPr>
          <w:rFonts w:ascii="Arial" w:eastAsia="Aptos" w:hAnsi="Arial" w:cs="Arial"/>
          <w:lang w:val="en-US"/>
        </w:rPr>
        <w:t>1</w:t>
      </w:r>
      <w:r w:rsidR="00B336E7" w:rsidRPr="005F2054">
        <w:rPr>
          <w:rFonts w:ascii="Arial" w:eastAsia="Aptos" w:hAnsi="Arial" w:cs="Arial"/>
          <w:lang w:val="en-US"/>
        </w:rPr>
        <w:t>11</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Qiu Z, Lin C, Zhang Y, Lin C, Deng J, Wu M. Analysis of the Efficacy and Safety of Teriparatide and Alendronate in the Treatment of Osteoporosis After Renal Transplantation. Iran J Kidney Dis. 2021;15(6):451-456.</w:t>
      </w:r>
    </w:p>
    <w:p w14:paraId="30FD7F08" w14:textId="6599D7EB" w:rsidR="008773CD" w:rsidRDefault="003F12BD" w:rsidP="008773CD">
      <w:pPr>
        <w:spacing w:after="0"/>
        <w:ind w:left="576" w:hanging="576"/>
        <w:rPr>
          <w:rFonts w:ascii="Arial" w:eastAsia="Aptos" w:hAnsi="Arial" w:cs="Arial"/>
          <w:lang w:val="en-US"/>
        </w:rPr>
      </w:pPr>
      <w:r w:rsidRPr="005F2054">
        <w:rPr>
          <w:rFonts w:ascii="Arial" w:eastAsia="Aptos" w:hAnsi="Arial" w:cs="Arial"/>
          <w:lang w:val="en-US"/>
        </w:rPr>
        <w:t>1</w:t>
      </w:r>
      <w:r w:rsidR="00B336E7" w:rsidRPr="005F2054">
        <w:rPr>
          <w:rFonts w:ascii="Arial" w:eastAsia="Aptos" w:hAnsi="Arial" w:cs="Arial"/>
          <w:lang w:val="en-US"/>
        </w:rPr>
        <w:t>12</w:t>
      </w:r>
      <w:r w:rsidRPr="005F2054">
        <w:rPr>
          <w:rFonts w:ascii="Arial" w:eastAsia="Aptos" w:hAnsi="Arial" w:cs="Arial"/>
          <w:lang w:val="en-US"/>
        </w:rPr>
        <w:t>.</w:t>
      </w:r>
      <w:r w:rsidR="007147AB">
        <w:rPr>
          <w:rFonts w:ascii="Arial" w:eastAsia="Aptos" w:hAnsi="Arial" w:cs="Arial"/>
          <w:lang w:val="en-US"/>
        </w:rPr>
        <w:t xml:space="preserve"> </w:t>
      </w:r>
      <w:r w:rsidRPr="005F2054">
        <w:rPr>
          <w:rFonts w:ascii="Arial" w:eastAsia="Aptos" w:hAnsi="Arial" w:cs="Arial"/>
          <w:lang w:val="en-US"/>
        </w:rPr>
        <w:t xml:space="preserve"> Bruyere O, </w:t>
      </w:r>
      <w:proofErr w:type="spellStart"/>
      <w:r w:rsidRPr="005F2054">
        <w:rPr>
          <w:rFonts w:ascii="Arial" w:eastAsia="Aptos" w:hAnsi="Arial" w:cs="Arial"/>
          <w:lang w:val="en-US"/>
        </w:rPr>
        <w:t>Reginster</w:t>
      </w:r>
      <w:proofErr w:type="spellEnd"/>
      <w:r w:rsidRPr="005F2054">
        <w:rPr>
          <w:rFonts w:ascii="Arial" w:eastAsia="Aptos" w:hAnsi="Arial" w:cs="Arial"/>
          <w:lang w:val="en-US"/>
        </w:rPr>
        <w:t xml:space="preserve"> JY. </w:t>
      </w:r>
      <w:r w:rsidR="00F37AD4" w:rsidRPr="005F2054">
        <w:rPr>
          <w:rFonts w:ascii="Arial" w:eastAsia="Aptos" w:hAnsi="Arial" w:cs="Arial"/>
          <w:lang w:val="en-US"/>
        </w:rPr>
        <w:t>Monitoring</w:t>
      </w:r>
      <w:r w:rsidRPr="005F2054">
        <w:rPr>
          <w:rFonts w:ascii="Arial" w:eastAsia="Aptos" w:hAnsi="Arial" w:cs="Arial"/>
          <w:lang w:val="en-US"/>
        </w:rPr>
        <w:t xml:space="preserve"> osteoporosis therapy. Best </w:t>
      </w:r>
      <w:proofErr w:type="spellStart"/>
      <w:r w:rsidRPr="005F2054">
        <w:rPr>
          <w:rFonts w:ascii="Arial" w:eastAsia="Aptos" w:hAnsi="Arial" w:cs="Arial"/>
          <w:lang w:val="en-US"/>
        </w:rPr>
        <w:t>Pract</w:t>
      </w:r>
      <w:proofErr w:type="spellEnd"/>
      <w:r w:rsidRPr="005F2054">
        <w:rPr>
          <w:rFonts w:ascii="Arial" w:eastAsia="Aptos" w:hAnsi="Arial" w:cs="Arial"/>
          <w:lang w:val="en-US"/>
        </w:rPr>
        <w:t xml:space="preserve"> Res Clin Endocrinol </w:t>
      </w:r>
      <w:proofErr w:type="spellStart"/>
      <w:r w:rsidRPr="005F2054">
        <w:rPr>
          <w:rFonts w:ascii="Arial" w:eastAsia="Aptos" w:hAnsi="Arial" w:cs="Arial"/>
          <w:lang w:val="en-US"/>
        </w:rPr>
        <w:t>Metabol</w:t>
      </w:r>
      <w:proofErr w:type="spellEnd"/>
      <w:r w:rsidRPr="005F2054">
        <w:rPr>
          <w:rFonts w:ascii="Arial" w:eastAsia="Aptos" w:hAnsi="Arial" w:cs="Arial"/>
          <w:lang w:val="en-US"/>
        </w:rPr>
        <w:t xml:space="preserve">. </w:t>
      </w:r>
      <w:r w:rsidR="000D36B9" w:rsidRPr="005F2054">
        <w:rPr>
          <w:rFonts w:ascii="Arial" w:eastAsia="Aptos" w:hAnsi="Arial" w:cs="Arial"/>
          <w:lang w:val="en-US"/>
        </w:rPr>
        <w:t>2014; 28:835</w:t>
      </w:r>
      <w:r w:rsidRPr="005F2054">
        <w:rPr>
          <w:rFonts w:ascii="Arial" w:eastAsia="Aptos" w:hAnsi="Arial" w:cs="Arial"/>
          <w:lang w:val="en-US"/>
        </w:rPr>
        <w:t>–841</w:t>
      </w:r>
    </w:p>
    <w:p w14:paraId="53EFD4D2" w14:textId="61DAB6AC" w:rsidR="00DB1E1B" w:rsidRPr="005F2054" w:rsidRDefault="00DB1E1B" w:rsidP="008773CD">
      <w:pPr>
        <w:spacing w:after="0"/>
        <w:ind w:left="576" w:hanging="576"/>
        <w:rPr>
          <w:rFonts w:ascii="Arial" w:hAnsi="Arial" w:cs="Arial"/>
          <w:lang w:val="en-US"/>
        </w:rPr>
      </w:pPr>
      <w:r w:rsidRPr="005F2054">
        <w:rPr>
          <w:rFonts w:ascii="Arial" w:hAnsi="Arial" w:cs="Arial"/>
          <w:lang w:val="en-US"/>
        </w:rPr>
        <w:t>113.</w:t>
      </w:r>
      <w:r w:rsidR="007147AB">
        <w:rPr>
          <w:rFonts w:ascii="Arial" w:hAnsi="Arial" w:cs="Arial"/>
          <w:lang w:val="en-US"/>
        </w:rPr>
        <w:t xml:space="preserve"> </w:t>
      </w:r>
      <w:r w:rsidRPr="005F2054">
        <w:rPr>
          <w:rFonts w:ascii="Arial" w:hAnsi="Arial" w:cs="Arial"/>
          <w:lang w:val="en-US"/>
        </w:rPr>
        <w:t xml:space="preserve"> Ninkovic M, </w:t>
      </w:r>
      <w:proofErr w:type="spellStart"/>
      <w:r w:rsidRPr="005F2054">
        <w:rPr>
          <w:rFonts w:ascii="Arial" w:hAnsi="Arial" w:cs="Arial"/>
          <w:lang w:val="en-US"/>
        </w:rPr>
        <w:t>Skingle</w:t>
      </w:r>
      <w:proofErr w:type="spellEnd"/>
      <w:r w:rsidRPr="005F2054">
        <w:rPr>
          <w:rFonts w:ascii="Arial" w:hAnsi="Arial" w:cs="Arial"/>
          <w:lang w:val="en-US"/>
        </w:rPr>
        <w:t xml:space="preserve"> S, Beacroft PWP, Bishop N, Alexander GJM, Compston JE. Incidence of vertebral fracture in the first three months after orthotopic liver transplantation. </w:t>
      </w:r>
      <w:proofErr w:type="spellStart"/>
      <w:r w:rsidRPr="005F2054">
        <w:rPr>
          <w:rFonts w:ascii="Arial" w:hAnsi="Arial" w:cs="Arial"/>
          <w:lang w:val="en-US"/>
        </w:rPr>
        <w:t>Eur</w:t>
      </w:r>
      <w:proofErr w:type="spellEnd"/>
      <w:r w:rsidRPr="005F2054">
        <w:rPr>
          <w:rFonts w:ascii="Arial" w:hAnsi="Arial" w:cs="Arial"/>
          <w:lang w:val="en-US"/>
        </w:rPr>
        <w:t xml:space="preserve"> J Gastroenterol </w:t>
      </w:r>
      <w:proofErr w:type="spellStart"/>
      <w:r w:rsidRPr="005F2054">
        <w:rPr>
          <w:rFonts w:ascii="Arial" w:hAnsi="Arial" w:cs="Arial"/>
          <w:lang w:val="en-US"/>
        </w:rPr>
        <w:t>Hepato</w:t>
      </w:r>
      <w:proofErr w:type="spellEnd"/>
      <w:r w:rsidRPr="005F2054">
        <w:rPr>
          <w:rFonts w:ascii="Arial" w:hAnsi="Arial" w:cs="Arial"/>
          <w:lang w:val="en-US"/>
        </w:rPr>
        <w:t xml:space="preserve"> 2000; 12:931-4</w:t>
      </w:r>
    </w:p>
    <w:p w14:paraId="5D936C40" w14:textId="138E317C" w:rsidR="00DB1E1B" w:rsidRPr="005F2054" w:rsidRDefault="00DB1E1B" w:rsidP="005F2054">
      <w:pPr>
        <w:spacing w:after="0"/>
        <w:ind w:left="576" w:hanging="576"/>
        <w:rPr>
          <w:rFonts w:ascii="Arial" w:hAnsi="Arial" w:cs="Arial"/>
          <w:lang w:val="en-US"/>
        </w:rPr>
      </w:pPr>
      <w:r w:rsidRPr="005F2054">
        <w:rPr>
          <w:rFonts w:ascii="Arial" w:hAnsi="Arial" w:cs="Arial"/>
          <w:lang w:val="en-US"/>
        </w:rPr>
        <w:t>114.</w:t>
      </w:r>
      <w:r w:rsidR="007147AB">
        <w:rPr>
          <w:rFonts w:ascii="Arial" w:hAnsi="Arial" w:cs="Arial"/>
          <w:lang w:val="en-US"/>
        </w:rPr>
        <w:t xml:space="preserve">  </w:t>
      </w:r>
      <w:r w:rsidRPr="005F2054">
        <w:rPr>
          <w:rFonts w:ascii="Arial" w:hAnsi="Arial" w:cs="Arial"/>
          <w:lang w:val="en-US"/>
        </w:rPr>
        <w:t xml:space="preserve">Atsumi K, Kushida K, Yamazaki K, </w:t>
      </w:r>
      <w:proofErr w:type="spellStart"/>
      <w:r w:rsidRPr="005F2054">
        <w:rPr>
          <w:rFonts w:ascii="Arial" w:hAnsi="Arial" w:cs="Arial"/>
          <w:lang w:val="en-US"/>
        </w:rPr>
        <w:t>Shimisu</w:t>
      </w:r>
      <w:proofErr w:type="spellEnd"/>
      <w:r w:rsidRPr="005F2054">
        <w:rPr>
          <w:rFonts w:ascii="Arial" w:hAnsi="Arial" w:cs="Arial"/>
          <w:lang w:val="en-US"/>
        </w:rPr>
        <w:t xml:space="preserve"> S, Ohmura A, Inoue T. Risk factors for vertebral fractures in renal osteodystrophy. Am J Kidney Dis </w:t>
      </w:r>
      <w:r w:rsidR="00AF3508" w:rsidRPr="005F2054">
        <w:rPr>
          <w:rFonts w:ascii="Arial" w:hAnsi="Arial" w:cs="Arial"/>
          <w:lang w:val="en-US"/>
        </w:rPr>
        <w:t>1999; 33:287</w:t>
      </w:r>
      <w:r w:rsidRPr="005F2054">
        <w:rPr>
          <w:rFonts w:ascii="Arial" w:hAnsi="Arial" w:cs="Arial"/>
          <w:lang w:val="en-US"/>
        </w:rPr>
        <w:t>-93</w:t>
      </w:r>
    </w:p>
    <w:p w14:paraId="2EDA2A97" w14:textId="4D58919D" w:rsidR="00DB1E1B" w:rsidRPr="005F2054" w:rsidRDefault="00DB1E1B" w:rsidP="005F2054">
      <w:pPr>
        <w:spacing w:after="0"/>
        <w:ind w:left="576" w:hanging="576"/>
        <w:rPr>
          <w:rFonts w:ascii="Arial" w:hAnsi="Arial" w:cs="Arial"/>
          <w:lang w:val="en-US"/>
        </w:rPr>
      </w:pPr>
      <w:r w:rsidRPr="005F2054">
        <w:rPr>
          <w:rFonts w:ascii="Arial" w:hAnsi="Arial" w:cs="Arial"/>
          <w:lang w:val="en-US"/>
        </w:rPr>
        <w:t>115.</w:t>
      </w:r>
      <w:r w:rsidR="007147AB">
        <w:rPr>
          <w:rFonts w:ascii="Arial" w:hAnsi="Arial" w:cs="Arial"/>
          <w:lang w:val="en-US"/>
        </w:rPr>
        <w:t xml:space="preserve">  </w:t>
      </w:r>
      <w:r w:rsidR="002235AC" w:rsidRPr="005F2054">
        <w:rPr>
          <w:rFonts w:ascii="Arial" w:hAnsi="Arial" w:cs="Arial"/>
          <w:lang w:val="en-US"/>
        </w:rPr>
        <w:t xml:space="preserve">Alem AM, Sherrard DJ, Gillen DL, Weiss NS, Beresford SA, Heckbert SR, Wong C, Stehman-Breen C. </w:t>
      </w:r>
      <w:r w:rsidRPr="005F2054">
        <w:rPr>
          <w:rFonts w:ascii="Arial" w:hAnsi="Arial" w:cs="Arial"/>
          <w:lang w:val="en-US"/>
        </w:rPr>
        <w:t>Increase risk of fractures among patients with end stage renal disease. Kidney In</w:t>
      </w:r>
      <w:r w:rsidR="002235AC" w:rsidRPr="005F2054">
        <w:rPr>
          <w:rFonts w:ascii="Arial" w:hAnsi="Arial" w:cs="Arial"/>
          <w:lang w:val="en-US"/>
        </w:rPr>
        <w:t xml:space="preserve"> </w:t>
      </w:r>
      <w:r w:rsidRPr="005F2054">
        <w:rPr>
          <w:rFonts w:ascii="Arial" w:hAnsi="Arial" w:cs="Arial"/>
          <w:lang w:val="en-US"/>
        </w:rPr>
        <w:t>t2000; 58(1):396-9</w:t>
      </w:r>
    </w:p>
    <w:p w14:paraId="6BFDC420" w14:textId="139138EC" w:rsidR="00DB1E1B" w:rsidRPr="005F2054" w:rsidRDefault="00043567" w:rsidP="005F2054">
      <w:pPr>
        <w:spacing w:after="0"/>
        <w:ind w:left="576" w:hanging="576"/>
        <w:rPr>
          <w:rFonts w:ascii="Arial" w:hAnsi="Arial" w:cs="Arial"/>
          <w:lang w:val="en-US"/>
        </w:rPr>
      </w:pPr>
      <w:r w:rsidRPr="005F2054">
        <w:rPr>
          <w:rFonts w:ascii="Arial" w:hAnsi="Arial" w:cs="Arial"/>
          <w:lang w:val="en-US"/>
        </w:rPr>
        <w:t>116</w:t>
      </w:r>
      <w:r w:rsidR="00DB1E1B" w:rsidRPr="005F2054">
        <w:rPr>
          <w:rFonts w:ascii="Arial" w:hAnsi="Arial" w:cs="Arial"/>
          <w:lang w:val="en-US"/>
        </w:rPr>
        <w:t>.</w:t>
      </w:r>
      <w:r w:rsidR="007147AB">
        <w:rPr>
          <w:rFonts w:ascii="Arial" w:hAnsi="Arial" w:cs="Arial"/>
          <w:lang w:val="en-US"/>
        </w:rPr>
        <w:t xml:space="preserve">  </w:t>
      </w:r>
      <w:r w:rsidRPr="005F2054">
        <w:rPr>
          <w:rFonts w:ascii="Arial" w:hAnsi="Arial" w:cs="Arial"/>
          <w:lang w:val="en-US"/>
        </w:rPr>
        <w:t xml:space="preserve">Majumdar SR, </w:t>
      </w:r>
      <w:proofErr w:type="spellStart"/>
      <w:r w:rsidRPr="005F2054">
        <w:rPr>
          <w:rFonts w:ascii="Arial" w:hAnsi="Arial" w:cs="Arial"/>
          <w:lang w:val="en-US"/>
        </w:rPr>
        <w:t>Ezekowitz</w:t>
      </w:r>
      <w:proofErr w:type="spellEnd"/>
      <w:r w:rsidRPr="005F2054">
        <w:rPr>
          <w:rFonts w:ascii="Arial" w:hAnsi="Arial" w:cs="Arial"/>
          <w:lang w:val="en-US"/>
        </w:rPr>
        <w:t xml:space="preserve"> </w:t>
      </w:r>
      <w:r w:rsidR="00AF3508" w:rsidRPr="005F2054">
        <w:rPr>
          <w:rFonts w:ascii="Arial" w:hAnsi="Arial" w:cs="Arial"/>
          <w:lang w:val="en-US"/>
        </w:rPr>
        <w:t>JA,</w:t>
      </w:r>
      <w:r w:rsidRPr="005F2054">
        <w:rPr>
          <w:rFonts w:ascii="Arial" w:hAnsi="Arial" w:cs="Arial"/>
          <w:lang w:val="en-US"/>
        </w:rPr>
        <w:t xml:space="preserve"> Lix LM, Leslie WD.</w:t>
      </w:r>
      <w:r w:rsidR="00171174" w:rsidRPr="005F2054">
        <w:rPr>
          <w:rFonts w:ascii="Arial" w:hAnsi="Arial" w:cs="Arial"/>
          <w:lang w:val="en-US"/>
        </w:rPr>
        <w:t xml:space="preserve"> </w:t>
      </w:r>
      <w:r w:rsidR="00DB1E1B" w:rsidRPr="005F2054">
        <w:rPr>
          <w:rFonts w:ascii="Arial" w:hAnsi="Arial" w:cs="Arial"/>
          <w:lang w:val="en-US"/>
        </w:rPr>
        <w:t xml:space="preserve">Heart failure is a clinical and </w:t>
      </w:r>
      <w:proofErr w:type="spellStart"/>
      <w:r w:rsidR="00DB1E1B" w:rsidRPr="005F2054">
        <w:rPr>
          <w:rFonts w:ascii="Arial" w:hAnsi="Arial" w:cs="Arial"/>
          <w:lang w:val="en-US"/>
        </w:rPr>
        <w:t>densitometrically</w:t>
      </w:r>
      <w:proofErr w:type="spellEnd"/>
      <w:r w:rsidR="00DB1E1B" w:rsidRPr="005F2054">
        <w:rPr>
          <w:rFonts w:ascii="Arial" w:hAnsi="Arial" w:cs="Arial"/>
          <w:lang w:val="en-US"/>
        </w:rPr>
        <w:t xml:space="preserve"> independent and novel risk factor for major osteoporotic fractures: </w:t>
      </w:r>
      <w:r w:rsidR="00A353E0" w:rsidRPr="005F2054">
        <w:rPr>
          <w:rFonts w:ascii="Arial" w:hAnsi="Arial" w:cs="Arial"/>
          <w:lang w:val="en-US"/>
        </w:rPr>
        <w:t>Population-based</w:t>
      </w:r>
      <w:r w:rsidR="00DB1E1B" w:rsidRPr="005F2054">
        <w:rPr>
          <w:rFonts w:ascii="Arial" w:hAnsi="Arial" w:cs="Arial"/>
          <w:lang w:val="en-US"/>
        </w:rPr>
        <w:t xml:space="preserve"> cohort study of 45.000 subjects. J </w:t>
      </w:r>
      <w:r w:rsidR="00AF3508" w:rsidRPr="005F2054">
        <w:rPr>
          <w:rFonts w:ascii="Arial" w:hAnsi="Arial" w:cs="Arial"/>
          <w:lang w:val="en-US"/>
        </w:rPr>
        <w:t>Clin</w:t>
      </w:r>
      <w:r w:rsidR="00DB1E1B" w:rsidRPr="005F2054">
        <w:rPr>
          <w:rFonts w:ascii="Arial" w:hAnsi="Arial" w:cs="Arial"/>
          <w:lang w:val="en-US"/>
        </w:rPr>
        <w:t xml:space="preserve"> </w:t>
      </w:r>
      <w:r w:rsidR="00AF3508" w:rsidRPr="005F2054">
        <w:rPr>
          <w:rFonts w:ascii="Arial" w:hAnsi="Arial" w:cs="Arial"/>
          <w:lang w:val="en-US"/>
        </w:rPr>
        <w:t>E</w:t>
      </w:r>
      <w:r w:rsidR="00DB1E1B" w:rsidRPr="005F2054">
        <w:rPr>
          <w:rFonts w:ascii="Arial" w:hAnsi="Arial" w:cs="Arial"/>
          <w:lang w:val="en-US"/>
        </w:rPr>
        <w:t xml:space="preserve">ndocrinol </w:t>
      </w:r>
      <w:proofErr w:type="spellStart"/>
      <w:r w:rsidR="00A353E0" w:rsidRPr="005F2054">
        <w:rPr>
          <w:rFonts w:ascii="Arial" w:hAnsi="Arial" w:cs="Arial"/>
          <w:lang w:val="en-US"/>
        </w:rPr>
        <w:t>M</w:t>
      </w:r>
      <w:r w:rsidR="00DB1E1B" w:rsidRPr="005F2054">
        <w:rPr>
          <w:rFonts w:ascii="Arial" w:hAnsi="Arial" w:cs="Arial"/>
          <w:lang w:val="en-US"/>
        </w:rPr>
        <w:t>etab</w:t>
      </w:r>
      <w:proofErr w:type="spellEnd"/>
      <w:r w:rsidR="00DB1E1B" w:rsidRPr="005F2054">
        <w:rPr>
          <w:rFonts w:ascii="Arial" w:hAnsi="Arial" w:cs="Arial"/>
          <w:lang w:val="en-US"/>
        </w:rPr>
        <w:t xml:space="preserve">  2012; 87:1179-86</w:t>
      </w:r>
    </w:p>
    <w:p w14:paraId="5254D407" w14:textId="14621437" w:rsidR="00DB1E1B" w:rsidRPr="005F2054" w:rsidRDefault="00B1250D" w:rsidP="005F2054">
      <w:pPr>
        <w:spacing w:after="0"/>
        <w:ind w:left="576" w:hanging="576"/>
        <w:rPr>
          <w:rFonts w:ascii="Arial" w:hAnsi="Arial" w:cs="Arial"/>
          <w:lang w:val="en-US"/>
        </w:rPr>
      </w:pPr>
      <w:r w:rsidRPr="005F2054">
        <w:rPr>
          <w:rFonts w:ascii="Arial" w:hAnsi="Arial" w:cs="Arial"/>
          <w:lang w:val="en-US"/>
        </w:rPr>
        <w:t>117.</w:t>
      </w:r>
      <w:r w:rsidR="007147AB">
        <w:rPr>
          <w:rFonts w:ascii="Arial" w:hAnsi="Arial" w:cs="Arial"/>
          <w:lang w:val="en-US"/>
        </w:rPr>
        <w:t xml:space="preserve">  </w:t>
      </w:r>
      <w:proofErr w:type="spellStart"/>
      <w:r w:rsidR="00DB1E1B" w:rsidRPr="005F2054">
        <w:rPr>
          <w:rFonts w:ascii="Arial" w:hAnsi="Arial" w:cs="Arial"/>
          <w:lang w:val="en-US"/>
        </w:rPr>
        <w:t>Monegal</w:t>
      </w:r>
      <w:proofErr w:type="spellEnd"/>
      <w:r w:rsidRPr="005F2054">
        <w:rPr>
          <w:rFonts w:ascii="Arial" w:hAnsi="Arial" w:cs="Arial"/>
          <w:lang w:val="en-US"/>
        </w:rPr>
        <w:t xml:space="preserve"> A</w:t>
      </w:r>
      <w:r w:rsidR="00DB1E1B" w:rsidRPr="005F2054">
        <w:rPr>
          <w:rFonts w:ascii="Arial" w:hAnsi="Arial" w:cs="Arial"/>
          <w:lang w:val="en-US"/>
        </w:rPr>
        <w:t xml:space="preserve">, M. </w:t>
      </w:r>
      <w:proofErr w:type="spellStart"/>
      <w:r w:rsidR="00DB1E1B" w:rsidRPr="005F2054">
        <w:rPr>
          <w:rFonts w:ascii="Arial" w:hAnsi="Arial" w:cs="Arial"/>
          <w:lang w:val="en-US"/>
        </w:rPr>
        <w:t>Navasa</w:t>
      </w:r>
      <w:proofErr w:type="spellEnd"/>
      <w:r w:rsidRPr="005F2054">
        <w:rPr>
          <w:rFonts w:ascii="Arial" w:hAnsi="Arial" w:cs="Arial"/>
          <w:lang w:val="en-US"/>
        </w:rPr>
        <w:t xml:space="preserve"> M</w:t>
      </w:r>
      <w:r w:rsidR="00DB1E1B" w:rsidRPr="005F2054">
        <w:rPr>
          <w:rFonts w:ascii="Arial" w:hAnsi="Arial" w:cs="Arial"/>
          <w:lang w:val="en-US"/>
        </w:rPr>
        <w:t xml:space="preserve">, </w:t>
      </w:r>
      <w:proofErr w:type="spellStart"/>
      <w:r w:rsidR="00DB1E1B" w:rsidRPr="005F2054">
        <w:rPr>
          <w:rFonts w:ascii="Arial" w:hAnsi="Arial" w:cs="Arial"/>
          <w:lang w:val="en-US"/>
        </w:rPr>
        <w:t>Guanabens</w:t>
      </w:r>
      <w:proofErr w:type="spellEnd"/>
      <w:r w:rsidRPr="005F2054">
        <w:rPr>
          <w:rFonts w:ascii="Arial" w:hAnsi="Arial" w:cs="Arial"/>
          <w:lang w:val="en-US"/>
        </w:rPr>
        <w:t xml:space="preserve"> N</w:t>
      </w:r>
      <w:r w:rsidR="00DB1E1B" w:rsidRPr="005F2054">
        <w:rPr>
          <w:rFonts w:ascii="Arial" w:hAnsi="Arial" w:cs="Arial"/>
          <w:lang w:val="en-US"/>
        </w:rPr>
        <w:t>, Peris</w:t>
      </w:r>
      <w:r w:rsidRPr="005F2054">
        <w:rPr>
          <w:rFonts w:ascii="Arial" w:hAnsi="Arial" w:cs="Arial"/>
          <w:lang w:val="en-US"/>
        </w:rPr>
        <w:t xml:space="preserve"> P</w:t>
      </w:r>
      <w:r w:rsidR="00DB1E1B" w:rsidRPr="005F2054">
        <w:rPr>
          <w:rFonts w:ascii="Arial" w:hAnsi="Arial" w:cs="Arial"/>
          <w:lang w:val="en-US"/>
        </w:rPr>
        <w:t>, Pons</w:t>
      </w:r>
      <w:r w:rsidRPr="005F2054">
        <w:rPr>
          <w:rFonts w:ascii="Arial" w:hAnsi="Arial" w:cs="Arial"/>
          <w:lang w:val="en-US"/>
        </w:rPr>
        <w:t xml:space="preserve"> F</w:t>
      </w:r>
      <w:r w:rsidR="00DB1E1B" w:rsidRPr="005F2054">
        <w:rPr>
          <w:rFonts w:ascii="Arial" w:hAnsi="Arial" w:cs="Arial"/>
          <w:lang w:val="en-US"/>
        </w:rPr>
        <w:t>,</w:t>
      </w:r>
      <w:r w:rsidRPr="005F2054">
        <w:rPr>
          <w:rFonts w:ascii="Arial" w:hAnsi="Arial" w:cs="Arial"/>
          <w:lang w:val="en-US"/>
        </w:rPr>
        <w:t xml:space="preserve"> </w:t>
      </w:r>
      <w:r w:rsidR="00DB1E1B" w:rsidRPr="005F2054">
        <w:rPr>
          <w:rFonts w:ascii="Arial" w:hAnsi="Arial" w:cs="Arial"/>
          <w:lang w:val="en-US"/>
        </w:rPr>
        <w:t>Martinez de Osaba</w:t>
      </w:r>
      <w:r w:rsidRPr="005F2054">
        <w:rPr>
          <w:rFonts w:ascii="Arial" w:hAnsi="Arial" w:cs="Arial"/>
          <w:lang w:val="en-US"/>
        </w:rPr>
        <w:t xml:space="preserve"> MJ</w:t>
      </w:r>
      <w:r w:rsidR="00DB1E1B" w:rsidRPr="005F2054">
        <w:rPr>
          <w:rFonts w:ascii="Arial" w:hAnsi="Arial" w:cs="Arial"/>
          <w:lang w:val="en-US"/>
        </w:rPr>
        <w:t>, Ordi</w:t>
      </w:r>
      <w:r w:rsidRPr="005F2054">
        <w:rPr>
          <w:rFonts w:ascii="Arial" w:hAnsi="Arial" w:cs="Arial"/>
          <w:lang w:val="en-US"/>
        </w:rPr>
        <w:t xml:space="preserve"> J</w:t>
      </w:r>
      <w:r w:rsidR="00DB1E1B" w:rsidRPr="005F2054">
        <w:rPr>
          <w:rFonts w:ascii="Arial" w:hAnsi="Arial" w:cs="Arial"/>
          <w:lang w:val="en-US"/>
        </w:rPr>
        <w:t xml:space="preserve">, </w:t>
      </w:r>
      <w:proofErr w:type="spellStart"/>
      <w:r w:rsidR="00DB1E1B" w:rsidRPr="005F2054">
        <w:rPr>
          <w:rFonts w:ascii="Arial" w:hAnsi="Arial" w:cs="Arial"/>
          <w:lang w:val="en-US"/>
        </w:rPr>
        <w:t>Rimola</w:t>
      </w:r>
      <w:proofErr w:type="spellEnd"/>
      <w:r w:rsidRPr="005F2054">
        <w:rPr>
          <w:rFonts w:ascii="Arial" w:hAnsi="Arial" w:cs="Arial"/>
          <w:lang w:val="en-US"/>
        </w:rPr>
        <w:t xml:space="preserve"> A</w:t>
      </w:r>
      <w:r w:rsidR="00DB1E1B" w:rsidRPr="005F2054">
        <w:rPr>
          <w:rFonts w:ascii="Arial" w:hAnsi="Arial" w:cs="Arial"/>
          <w:lang w:val="en-US"/>
        </w:rPr>
        <w:t>, Rodes</w:t>
      </w:r>
      <w:r w:rsidRPr="005F2054">
        <w:rPr>
          <w:rFonts w:ascii="Arial" w:hAnsi="Arial" w:cs="Arial"/>
          <w:lang w:val="en-US"/>
        </w:rPr>
        <w:t xml:space="preserve"> J</w:t>
      </w:r>
      <w:r w:rsidR="00DB1E1B" w:rsidRPr="005F2054">
        <w:rPr>
          <w:rFonts w:ascii="Arial" w:hAnsi="Arial" w:cs="Arial"/>
          <w:lang w:val="en-US"/>
        </w:rPr>
        <w:t xml:space="preserve"> and Munoz-Gomez</w:t>
      </w:r>
      <w:r w:rsidRPr="005F2054">
        <w:rPr>
          <w:rFonts w:ascii="Arial" w:hAnsi="Arial" w:cs="Arial"/>
          <w:lang w:val="en-US"/>
        </w:rPr>
        <w:t xml:space="preserve"> J.</w:t>
      </w:r>
      <w:r w:rsidR="00A353E0" w:rsidRPr="005F2054">
        <w:rPr>
          <w:rFonts w:ascii="Arial" w:hAnsi="Arial" w:cs="Arial"/>
          <w:lang w:val="en-US"/>
        </w:rPr>
        <w:t xml:space="preserve"> </w:t>
      </w:r>
      <w:r w:rsidR="00DB1E1B" w:rsidRPr="005F2054">
        <w:rPr>
          <w:rFonts w:ascii="Arial" w:hAnsi="Arial" w:cs="Arial"/>
          <w:lang w:val="en-US"/>
        </w:rPr>
        <w:t xml:space="preserve">Bone Disease After Liver Transplantation: A Long-Term Prospective Study of Bone Mass Changes, Hormonal Status and </w:t>
      </w:r>
      <w:proofErr w:type="spellStart"/>
      <w:r w:rsidR="00DB1E1B" w:rsidRPr="005F2054">
        <w:rPr>
          <w:rFonts w:ascii="Arial" w:hAnsi="Arial" w:cs="Arial"/>
          <w:lang w:val="en-US"/>
        </w:rPr>
        <w:t>Histomorphometric</w:t>
      </w:r>
      <w:proofErr w:type="spellEnd"/>
      <w:r w:rsidR="00DB1E1B" w:rsidRPr="005F2054">
        <w:rPr>
          <w:rFonts w:ascii="Arial" w:hAnsi="Arial" w:cs="Arial"/>
          <w:lang w:val="en-US"/>
        </w:rPr>
        <w:t xml:space="preserve"> </w:t>
      </w:r>
      <w:proofErr w:type="spellStart"/>
      <w:r w:rsidR="00DB1E1B" w:rsidRPr="005F2054">
        <w:rPr>
          <w:rFonts w:ascii="Arial" w:hAnsi="Arial" w:cs="Arial"/>
          <w:lang w:val="en-US"/>
        </w:rPr>
        <w:t>Characteristics</w:t>
      </w:r>
      <w:r w:rsidR="00A353E0" w:rsidRPr="005F2054">
        <w:rPr>
          <w:rFonts w:ascii="Arial" w:hAnsi="Arial" w:cs="Arial"/>
          <w:lang w:val="en-US"/>
        </w:rPr>
        <w:t>.</w:t>
      </w:r>
      <w:r w:rsidR="00DB1E1B" w:rsidRPr="005F2054">
        <w:rPr>
          <w:rFonts w:ascii="Arial" w:hAnsi="Arial" w:cs="Arial"/>
          <w:lang w:val="en-US"/>
        </w:rPr>
        <w:t>Osteoporos</w:t>
      </w:r>
      <w:proofErr w:type="spellEnd"/>
      <w:r w:rsidR="00DB1E1B" w:rsidRPr="005F2054">
        <w:rPr>
          <w:rFonts w:ascii="Arial" w:hAnsi="Arial" w:cs="Arial"/>
          <w:lang w:val="en-US"/>
        </w:rPr>
        <w:t xml:space="preserve"> Int (2001) 12:484–</w:t>
      </w:r>
    </w:p>
    <w:p w14:paraId="10F7E29B" w14:textId="6A3BF6F7" w:rsidR="00E36206" w:rsidRPr="005F2054" w:rsidRDefault="00E36206" w:rsidP="005F2054">
      <w:pPr>
        <w:spacing w:after="0"/>
        <w:ind w:left="576" w:hanging="576"/>
        <w:rPr>
          <w:rFonts w:ascii="Arial" w:hAnsi="Arial" w:cs="Arial"/>
          <w:lang w:val="en-US"/>
        </w:rPr>
      </w:pPr>
      <w:r w:rsidRPr="005F2054">
        <w:rPr>
          <w:rFonts w:ascii="Arial" w:hAnsi="Arial" w:cs="Arial"/>
          <w:lang w:val="en-US"/>
        </w:rPr>
        <w:t>118.</w:t>
      </w:r>
      <w:r w:rsidR="007147AB">
        <w:rPr>
          <w:rFonts w:ascii="Arial" w:hAnsi="Arial" w:cs="Arial"/>
          <w:lang w:val="en-US"/>
        </w:rPr>
        <w:t xml:space="preserve">  </w:t>
      </w:r>
      <w:r w:rsidRPr="005F2054">
        <w:rPr>
          <w:rFonts w:ascii="Arial" w:hAnsi="Arial" w:cs="Arial"/>
          <w:lang w:val="en-US"/>
        </w:rPr>
        <w:t>Cohen A</w:t>
      </w:r>
      <w:r w:rsidR="00C81916" w:rsidRPr="005F2054">
        <w:rPr>
          <w:rFonts w:ascii="Arial" w:hAnsi="Arial" w:cs="Arial"/>
          <w:lang w:val="en-US"/>
        </w:rPr>
        <w:t xml:space="preserve">, </w:t>
      </w:r>
      <w:hyperlink r:id="rId18" w:history="1">
        <w:r w:rsidR="00D728E6" w:rsidRPr="005F2054">
          <w:rPr>
            <w:rStyle w:val="Hyperlink"/>
            <w:rFonts w:ascii="Arial" w:hAnsi="Arial" w:cs="Arial"/>
            <w:color w:val="auto"/>
            <w:u w:val="none"/>
            <w:lang w:val="en-US"/>
          </w:rPr>
          <w:t>Sambrook</w:t>
        </w:r>
      </w:hyperlink>
      <w:r w:rsidR="00D728E6" w:rsidRPr="005F2054">
        <w:rPr>
          <w:rFonts w:ascii="Arial" w:hAnsi="Arial" w:cs="Arial"/>
          <w:lang w:val="en-US"/>
        </w:rPr>
        <w:t xml:space="preserve"> P, Shane E.</w:t>
      </w:r>
      <w:r w:rsidR="00F853D9" w:rsidRPr="005F2054">
        <w:rPr>
          <w:rFonts w:ascii="Arial" w:hAnsi="Arial" w:cs="Arial"/>
          <w:lang w:val="en-US"/>
        </w:rPr>
        <w:t xml:space="preserve"> </w:t>
      </w:r>
      <w:r w:rsidRPr="005F2054">
        <w:rPr>
          <w:rFonts w:ascii="Arial" w:hAnsi="Arial" w:cs="Arial"/>
          <w:lang w:val="en-US"/>
        </w:rPr>
        <w:t>Management of bone loss after organ transplantation 2004; J Bone miner Rese19:1919-32</w:t>
      </w:r>
    </w:p>
    <w:p w14:paraId="6B4583FC" w14:textId="0AE1C090" w:rsidR="00E36206" w:rsidRPr="005F2054" w:rsidRDefault="00E5221A" w:rsidP="005F2054">
      <w:pPr>
        <w:spacing w:after="0"/>
        <w:ind w:left="576" w:hanging="576"/>
        <w:rPr>
          <w:rFonts w:ascii="Arial" w:hAnsi="Arial" w:cs="Arial"/>
          <w:lang w:val="en-US"/>
        </w:rPr>
      </w:pPr>
      <w:r w:rsidRPr="005F2054">
        <w:rPr>
          <w:rFonts w:ascii="Arial" w:hAnsi="Arial" w:cs="Arial"/>
          <w:lang w:val="en-US"/>
        </w:rPr>
        <w:t>119.</w:t>
      </w:r>
      <w:r w:rsidR="007147AB">
        <w:rPr>
          <w:rFonts w:ascii="Arial" w:hAnsi="Arial" w:cs="Arial"/>
          <w:lang w:val="en-US"/>
        </w:rPr>
        <w:t xml:space="preserve">  </w:t>
      </w:r>
      <w:r w:rsidR="00E36206" w:rsidRPr="005F2054">
        <w:rPr>
          <w:rFonts w:ascii="Arial" w:hAnsi="Arial" w:cs="Arial"/>
          <w:lang w:val="en-US"/>
        </w:rPr>
        <w:t>Wang TK</w:t>
      </w:r>
      <w:r w:rsidRPr="005F2054">
        <w:rPr>
          <w:rFonts w:ascii="Arial" w:hAnsi="Arial" w:cs="Arial"/>
          <w:shd w:val="clear" w:color="auto" w:fill="FFFFFF"/>
          <w:lang w:val="en-US"/>
        </w:rPr>
        <w:t xml:space="preserve">, O'Sullivan S, Gamble GD, </w:t>
      </w:r>
      <w:proofErr w:type="spellStart"/>
      <w:r w:rsidRPr="005F2054">
        <w:rPr>
          <w:rFonts w:ascii="Arial" w:hAnsi="Arial" w:cs="Arial"/>
          <w:shd w:val="clear" w:color="auto" w:fill="FFFFFF"/>
          <w:lang w:val="en-US"/>
        </w:rPr>
        <w:t>Ruygrok</w:t>
      </w:r>
      <w:proofErr w:type="spellEnd"/>
      <w:r w:rsidRPr="005F2054">
        <w:rPr>
          <w:rFonts w:ascii="Arial" w:hAnsi="Arial" w:cs="Arial"/>
          <w:shd w:val="clear" w:color="auto" w:fill="FFFFFF"/>
          <w:lang w:val="en-US"/>
        </w:rPr>
        <w:t>, PN</w:t>
      </w:r>
      <w:r w:rsidR="00F853D9" w:rsidRPr="005F2054">
        <w:rPr>
          <w:rFonts w:ascii="Arial" w:hAnsi="Arial" w:cs="Arial"/>
          <w:color w:val="5B616B"/>
          <w:shd w:val="clear" w:color="auto" w:fill="FFFFFF"/>
          <w:lang w:val="en-US"/>
        </w:rPr>
        <w:t xml:space="preserve">. </w:t>
      </w:r>
      <w:r w:rsidR="00E36206" w:rsidRPr="005F2054">
        <w:rPr>
          <w:rFonts w:ascii="Arial" w:hAnsi="Arial" w:cs="Arial"/>
          <w:lang w:val="en-US"/>
        </w:rPr>
        <w:t xml:space="preserve">Bone density in heart or lung transplant </w:t>
      </w:r>
      <w:r w:rsidR="00AF3508" w:rsidRPr="005F2054">
        <w:rPr>
          <w:rFonts w:ascii="Arial" w:hAnsi="Arial" w:cs="Arial"/>
          <w:lang w:val="en-US"/>
        </w:rPr>
        <w:t>recipients’</w:t>
      </w:r>
      <w:r w:rsidR="00E36206" w:rsidRPr="005F2054">
        <w:rPr>
          <w:rFonts w:ascii="Arial" w:hAnsi="Arial" w:cs="Arial"/>
          <w:lang w:val="en-US"/>
        </w:rPr>
        <w:t xml:space="preserve"> longitudinal study. </w:t>
      </w:r>
      <w:r w:rsidR="00171174" w:rsidRPr="005F2054">
        <w:rPr>
          <w:rFonts w:ascii="Arial" w:hAnsi="Arial" w:cs="Arial"/>
          <w:lang w:val="en-US"/>
        </w:rPr>
        <w:t>Transplant</w:t>
      </w:r>
      <w:r w:rsidR="00E36206" w:rsidRPr="005F2054">
        <w:rPr>
          <w:rFonts w:ascii="Arial" w:hAnsi="Arial" w:cs="Arial"/>
          <w:lang w:val="en-US"/>
        </w:rPr>
        <w:t xml:space="preserve"> Proc </w:t>
      </w:r>
      <w:r w:rsidR="00AF3508" w:rsidRPr="005F2054">
        <w:rPr>
          <w:rFonts w:ascii="Arial" w:hAnsi="Arial" w:cs="Arial"/>
          <w:lang w:val="en-US"/>
        </w:rPr>
        <w:t xml:space="preserve">2013; </w:t>
      </w:r>
      <w:r w:rsidR="001900EC" w:rsidRPr="005F2054">
        <w:rPr>
          <w:rFonts w:ascii="Arial" w:hAnsi="Arial" w:cs="Arial"/>
          <w:lang w:val="en-US"/>
        </w:rPr>
        <w:t xml:space="preserve"> 45(6):2357-65.</w:t>
      </w:r>
    </w:p>
    <w:p w14:paraId="4DDD093D" w14:textId="768E1BA7" w:rsidR="00E36206" w:rsidRPr="005F2054" w:rsidRDefault="006D2FF4" w:rsidP="005F2054">
      <w:pPr>
        <w:spacing w:after="0"/>
        <w:ind w:left="576" w:hanging="576"/>
        <w:rPr>
          <w:rFonts w:ascii="Arial" w:hAnsi="Arial" w:cs="Arial"/>
          <w:b/>
          <w:bCs/>
          <w:lang w:val="en-US"/>
        </w:rPr>
      </w:pPr>
      <w:r w:rsidRPr="005F2054">
        <w:rPr>
          <w:rFonts w:ascii="Arial" w:hAnsi="Arial" w:cs="Arial"/>
          <w:lang w:val="en-US"/>
        </w:rPr>
        <w:t>120</w:t>
      </w:r>
      <w:r w:rsidR="00E36206" w:rsidRPr="005F2054">
        <w:rPr>
          <w:rFonts w:ascii="Arial" w:hAnsi="Arial" w:cs="Arial"/>
          <w:lang w:val="en-US"/>
        </w:rPr>
        <w:t>.</w:t>
      </w:r>
      <w:r w:rsidR="007147AB">
        <w:rPr>
          <w:rFonts w:ascii="Arial" w:hAnsi="Arial" w:cs="Arial"/>
          <w:lang w:val="en-US"/>
        </w:rPr>
        <w:t xml:space="preserve">  </w:t>
      </w:r>
      <w:r w:rsidR="00E36206" w:rsidRPr="005F2054">
        <w:rPr>
          <w:rFonts w:ascii="Arial" w:hAnsi="Arial" w:cs="Arial"/>
          <w:lang w:val="en-US"/>
        </w:rPr>
        <w:t xml:space="preserve">Spira </w:t>
      </w:r>
      <w:r w:rsidR="005A64E3" w:rsidRPr="005F2054">
        <w:rPr>
          <w:rFonts w:ascii="Arial" w:hAnsi="Arial" w:cs="Arial"/>
          <w:lang w:val="en-US"/>
        </w:rPr>
        <w:t>A, Gutiérrez</w:t>
      </w:r>
      <w:r w:rsidRPr="005F2054">
        <w:rPr>
          <w:rFonts w:ascii="Arial" w:hAnsi="Arial" w:cs="Arial"/>
          <w:lang w:val="en-US"/>
        </w:rPr>
        <w:t xml:space="preserve"> C, Chaparro C, Hutcheon MA, Chan CK.</w:t>
      </w:r>
      <w:r w:rsidR="008773CD">
        <w:rPr>
          <w:rFonts w:ascii="Arial" w:hAnsi="Arial" w:cs="Arial"/>
          <w:lang w:val="en-US"/>
        </w:rPr>
        <w:t xml:space="preserve"> </w:t>
      </w:r>
      <w:r w:rsidR="00E36206" w:rsidRPr="005F2054">
        <w:rPr>
          <w:rFonts w:ascii="Arial" w:hAnsi="Arial" w:cs="Arial"/>
          <w:lang w:val="en-US"/>
        </w:rPr>
        <w:t xml:space="preserve">Osteoporosis and lung transplantation: a prospective study. Chest </w:t>
      </w:r>
      <w:r w:rsidR="00171174" w:rsidRPr="005F2054">
        <w:rPr>
          <w:rFonts w:ascii="Arial" w:hAnsi="Arial" w:cs="Arial"/>
          <w:lang w:val="en-US"/>
        </w:rPr>
        <w:t>2000; 117:476</w:t>
      </w:r>
      <w:r w:rsidR="005A419D" w:rsidRPr="005F2054">
        <w:rPr>
          <w:rFonts w:ascii="Arial" w:hAnsi="Arial" w:cs="Arial"/>
          <w:lang w:val="en-US"/>
        </w:rPr>
        <w:t>-81</w:t>
      </w:r>
    </w:p>
    <w:p w14:paraId="5358EF53" w14:textId="68637D63" w:rsidR="00E36206" w:rsidRPr="005F2054" w:rsidRDefault="00584EC1" w:rsidP="005F2054">
      <w:pPr>
        <w:tabs>
          <w:tab w:val="num" w:pos="720"/>
        </w:tabs>
        <w:spacing w:after="0"/>
        <w:ind w:left="576" w:hanging="576"/>
        <w:rPr>
          <w:rFonts w:ascii="Arial" w:hAnsi="Arial" w:cs="Arial"/>
          <w:lang w:val="en-US"/>
        </w:rPr>
      </w:pPr>
      <w:r w:rsidRPr="005F2054">
        <w:rPr>
          <w:rFonts w:ascii="Arial" w:hAnsi="Arial" w:cs="Arial"/>
          <w:lang w:val="en-US"/>
        </w:rPr>
        <w:t>121</w:t>
      </w:r>
      <w:r w:rsidR="00E36206" w:rsidRPr="005F2054">
        <w:rPr>
          <w:rFonts w:ascii="Arial" w:hAnsi="Arial" w:cs="Arial"/>
          <w:lang w:val="en-US"/>
        </w:rPr>
        <w:t>.</w:t>
      </w:r>
      <w:r w:rsidR="007147AB">
        <w:rPr>
          <w:rFonts w:ascii="Arial" w:hAnsi="Arial" w:cs="Arial"/>
          <w:lang w:val="en-US"/>
        </w:rPr>
        <w:t xml:space="preserve">  </w:t>
      </w:r>
      <w:r w:rsidR="00E36206" w:rsidRPr="005F2054">
        <w:rPr>
          <w:rFonts w:ascii="Arial" w:hAnsi="Arial" w:cs="Arial"/>
          <w:lang w:val="en-US"/>
        </w:rPr>
        <w:t xml:space="preserve">Gong-bin </w:t>
      </w:r>
      <w:r w:rsidR="00171174" w:rsidRPr="005F2054">
        <w:rPr>
          <w:rFonts w:ascii="Arial" w:hAnsi="Arial" w:cs="Arial"/>
          <w:lang w:val="en-US"/>
        </w:rPr>
        <w:t>Lan, Xu</w:t>
      </w:r>
      <w:r w:rsidRPr="005F2054">
        <w:rPr>
          <w:rFonts w:ascii="Arial" w:hAnsi="Arial" w:cs="Arial"/>
          <w:lang w:val="en-US"/>
        </w:rPr>
        <w:t>-</w:t>
      </w:r>
      <w:proofErr w:type="spellStart"/>
      <w:r w:rsidRPr="005F2054">
        <w:rPr>
          <w:rFonts w:ascii="Arial" w:hAnsi="Arial" w:cs="Arial"/>
          <w:lang w:val="en-US"/>
        </w:rPr>
        <w:t>biao</w:t>
      </w:r>
      <w:proofErr w:type="spellEnd"/>
      <w:r w:rsidRPr="005F2054">
        <w:rPr>
          <w:rFonts w:ascii="Arial" w:hAnsi="Arial" w:cs="Arial"/>
          <w:lang w:val="en-US"/>
        </w:rPr>
        <w:t xml:space="preserve"> Xie, Long-kai Peng, Lei Liu, Lei Song, He-long Dai. </w:t>
      </w:r>
      <w:proofErr w:type="gramStart"/>
      <w:r w:rsidR="00E36206" w:rsidRPr="005F2054">
        <w:rPr>
          <w:rFonts w:ascii="Arial" w:hAnsi="Arial" w:cs="Arial"/>
          <w:lang w:val="en-US"/>
        </w:rPr>
        <w:t>Current status</w:t>
      </w:r>
      <w:proofErr w:type="gramEnd"/>
      <w:r w:rsidR="00E36206" w:rsidRPr="005F2054">
        <w:rPr>
          <w:rFonts w:ascii="Arial" w:hAnsi="Arial" w:cs="Arial"/>
          <w:lang w:val="en-US"/>
        </w:rPr>
        <w:t xml:space="preserve"> of research on osteoporosis after solid organ transplantation: Pathogenesis and Management. </w:t>
      </w:r>
      <w:r w:rsidR="00675667" w:rsidRPr="005F2054">
        <w:rPr>
          <w:rFonts w:ascii="Arial" w:hAnsi="Arial" w:cs="Arial"/>
          <w:lang w:val="en-US"/>
        </w:rPr>
        <w:t>Biomed Res Int 2015:413169.</w:t>
      </w:r>
    </w:p>
    <w:p w14:paraId="1D3A3C90" w14:textId="4AFFFD1D" w:rsidR="00E36206" w:rsidRPr="005F2054" w:rsidRDefault="00E36206" w:rsidP="005F2054">
      <w:pPr>
        <w:spacing w:after="0"/>
        <w:ind w:left="576" w:hanging="576"/>
        <w:rPr>
          <w:rFonts w:ascii="Arial" w:hAnsi="Arial" w:cs="Arial"/>
          <w:lang w:val="en-US"/>
        </w:rPr>
      </w:pPr>
      <w:r w:rsidRPr="005F2054">
        <w:rPr>
          <w:rFonts w:ascii="Arial" w:hAnsi="Arial" w:cs="Arial"/>
          <w:lang w:val="en-US"/>
        </w:rPr>
        <w:t>1</w:t>
      </w:r>
      <w:r w:rsidR="00DE33B7" w:rsidRPr="005F2054">
        <w:rPr>
          <w:rFonts w:ascii="Arial" w:hAnsi="Arial" w:cs="Arial"/>
          <w:lang w:val="en-US"/>
        </w:rPr>
        <w:t>22</w:t>
      </w:r>
      <w:r w:rsidRPr="005F2054">
        <w:rPr>
          <w:rFonts w:ascii="Arial" w:hAnsi="Arial" w:cs="Arial"/>
          <w:lang w:val="en-US"/>
        </w:rPr>
        <w:t>.</w:t>
      </w:r>
      <w:r w:rsidR="007147AB">
        <w:rPr>
          <w:rFonts w:ascii="Arial" w:hAnsi="Arial" w:cs="Arial"/>
          <w:lang w:val="en-US"/>
        </w:rPr>
        <w:t xml:space="preserve">  </w:t>
      </w:r>
      <w:r w:rsidRPr="005F2054">
        <w:rPr>
          <w:rFonts w:ascii="Arial" w:hAnsi="Arial" w:cs="Arial"/>
          <w:lang w:val="en-US"/>
        </w:rPr>
        <w:t>Muchmore JS</w:t>
      </w:r>
      <w:r w:rsidR="00DE33B7" w:rsidRPr="005F2054">
        <w:rPr>
          <w:rFonts w:ascii="Arial" w:hAnsi="Arial" w:cs="Arial"/>
          <w:lang w:val="en-US"/>
        </w:rPr>
        <w:t>, Cooper DK, Ye</w:t>
      </w:r>
      <w:r w:rsidR="00171174" w:rsidRPr="005F2054">
        <w:rPr>
          <w:rFonts w:ascii="Arial" w:hAnsi="Arial" w:cs="Arial"/>
          <w:lang w:val="en-US"/>
        </w:rPr>
        <w:t xml:space="preserve"> </w:t>
      </w:r>
      <w:r w:rsidR="00DE33B7" w:rsidRPr="005F2054">
        <w:rPr>
          <w:rFonts w:ascii="Arial" w:hAnsi="Arial" w:cs="Arial"/>
          <w:lang w:val="en-US"/>
        </w:rPr>
        <w:t xml:space="preserve">Y, Schlegel VT, </w:t>
      </w:r>
      <w:proofErr w:type="spellStart"/>
      <w:r w:rsidR="00DE33B7" w:rsidRPr="005F2054">
        <w:rPr>
          <w:rFonts w:ascii="Arial" w:hAnsi="Arial" w:cs="Arial"/>
          <w:lang w:val="en-US"/>
        </w:rPr>
        <w:t>Zuhdi</w:t>
      </w:r>
      <w:proofErr w:type="spellEnd"/>
      <w:r w:rsidR="00DE33B7" w:rsidRPr="005F2054">
        <w:rPr>
          <w:rFonts w:ascii="Arial" w:hAnsi="Arial" w:cs="Arial"/>
          <w:lang w:val="en-US"/>
        </w:rPr>
        <w:t xml:space="preserve"> N.</w:t>
      </w:r>
      <w:r w:rsidR="008773CD">
        <w:rPr>
          <w:rFonts w:ascii="Arial" w:hAnsi="Arial" w:cs="Arial"/>
          <w:lang w:val="en-US"/>
        </w:rPr>
        <w:t xml:space="preserve"> </w:t>
      </w:r>
      <w:r w:rsidR="00DE33B7" w:rsidRPr="005F2054">
        <w:rPr>
          <w:rFonts w:ascii="Arial" w:hAnsi="Arial" w:cs="Arial"/>
          <w:lang w:val="en-US"/>
        </w:rPr>
        <w:t>Loss</w:t>
      </w:r>
      <w:r w:rsidRPr="005F2054">
        <w:rPr>
          <w:rFonts w:ascii="Arial" w:hAnsi="Arial" w:cs="Arial"/>
          <w:lang w:val="en-US"/>
        </w:rPr>
        <w:t xml:space="preserve"> </w:t>
      </w:r>
      <w:r w:rsidR="00AF3508" w:rsidRPr="005F2054">
        <w:rPr>
          <w:rFonts w:ascii="Arial" w:hAnsi="Arial" w:cs="Arial"/>
          <w:lang w:val="en-US"/>
        </w:rPr>
        <w:t xml:space="preserve">of </w:t>
      </w:r>
      <w:r w:rsidRPr="005F2054">
        <w:rPr>
          <w:rFonts w:ascii="Arial" w:hAnsi="Arial" w:cs="Arial"/>
          <w:lang w:val="en-US"/>
        </w:rPr>
        <w:t xml:space="preserve">vertebral bone density in heart transplant patients. Transplantation Proc. </w:t>
      </w:r>
      <w:r w:rsidR="00675667" w:rsidRPr="005F2054">
        <w:rPr>
          <w:rFonts w:ascii="Arial" w:hAnsi="Arial" w:cs="Arial"/>
          <w:lang w:val="en-US"/>
        </w:rPr>
        <w:t>1991 ;23(1 Pt 2):1184-5.</w:t>
      </w:r>
    </w:p>
    <w:p w14:paraId="79591B5E" w14:textId="1067D8A1" w:rsidR="00E36206" w:rsidRPr="005F2054" w:rsidRDefault="00864DFF" w:rsidP="005F2054">
      <w:pPr>
        <w:spacing w:after="0"/>
        <w:ind w:left="576" w:hanging="576"/>
        <w:rPr>
          <w:rFonts w:ascii="Arial" w:hAnsi="Arial" w:cs="Arial"/>
          <w:lang w:val="en-US"/>
        </w:rPr>
      </w:pPr>
      <w:r w:rsidRPr="005F2054">
        <w:rPr>
          <w:rFonts w:ascii="Arial" w:hAnsi="Arial" w:cs="Arial"/>
          <w:lang w:val="en-US"/>
        </w:rPr>
        <w:lastRenderedPageBreak/>
        <w:t>123</w:t>
      </w:r>
      <w:r w:rsidR="00E36206" w:rsidRPr="005F2054">
        <w:rPr>
          <w:rFonts w:ascii="Arial" w:hAnsi="Arial" w:cs="Arial"/>
          <w:lang w:val="en-US"/>
        </w:rPr>
        <w:t>.</w:t>
      </w:r>
      <w:r w:rsidR="007147AB">
        <w:rPr>
          <w:rFonts w:ascii="Arial" w:hAnsi="Arial" w:cs="Arial"/>
          <w:lang w:val="en-US"/>
        </w:rPr>
        <w:t xml:space="preserve">  </w:t>
      </w:r>
      <w:proofErr w:type="spellStart"/>
      <w:r w:rsidR="00E36206" w:rsidRPr="005F2054">
        <w:rPr>
          <w:rFonts w:ascii="Arial" w:hAnsi="Arial" w:cs="Arial"/>
          <w:lang w:val="en-US"/>
        </w:rPr>
        <w:t>Carbonare</w:t>
      </w:r>
      <w:proofErr w:type="spellEnd"/>
      <w:r w:rsidR="00E36206" w:rsidRPr="005F2054">
        <w:rPr>
          <w:rFonts w:ascii="Arial" w:hAnsi="Arial" w:cs="Arial"/>
          <w:lang w:val="en-US"/>
        </w:rPr>
        <w:t xml:space="preserve"> </w:t>
      </w:r>
      <w:r w:rsidR="00171174" w:rsidRPr="005F2054">
        <w:rPr>
          <w:rFonts w:ascii="Arial" w:hAnsi="Arial" w:cs="Arial"/>
          <w:lang w:val="en-US"/>
        </w:rPr>
        <w:t>LD, Zanatta</w:t>
      </w:r>
      <w:r w:rsidRPr="005F2054">
        <w:rPr>
          <w:rFonts w:ascii="Arial" w:hAnsi="Arial" w:cs="Arial"/>
          <w:lang w:val="en-US"/>
        </w:rPr>
        <w:t xml:space="preserve"> M, Braga V, Sella S, </w:t>
      </w:r>
      <w:proofErr w:type="spellStart"/>
      <w:r w:rsidRPr="005F2054">
        <w:rPr>
          <w:rFonts w:ascii="Arial" w:hAnsi="Arial" w:cs="Arial"/>
          <w:lang w:val="en-US"/>
        </w:rPr>
        <w:t>Vilei</w:t>
      </w:r>
      <w:proofErr w:type="spellEnd"/>
      <w:r w:rsidRPr="005F2054">
        <w:rPr>
          <w:rFonts w:ascii="Arial" w:hAnsi="Arial" w:cs="Arial"/>
          <w:lang w:val="en-US"/>
        </w:rPr>
        <w:t xml:space="preserve"> MT, Giuseppe, Gambino FA, Pepe I, Rossini M, Adami S, Giannini S. </w:t>
      </w:r>
      <w:r w:rsidR="00E36206" w:rsidRPr="005F2054">
        <w:rPr>
          <w:rFonts w:ascii="Arial" w:hAnsi="Arial" w:cs="Arial"/>
          <w:lang w:val="en-US"/>
        </w:rPr>
        <w:t>Densitometric threshold and vertebral fractures in heart transplant patients</w:t>
      </w:r>
      <w:r w:rsidR="00C72486">
        <w:rPr>
          <w:rFonts w:ascii="Arial" w:hAnsi="Arial" w:cs="Arial"/>
          <w:lang w:val="en-US"/>
        </w:rPr>
        <w:t xml:space="preserve">. </w:t>
      </w:r>
      <w:r w:rsidR="00E36206" w:rsidRPr="005F2054">
        <w:rPr>
          <w:rFonts w:ascii="Arial" w:hAnsi="Arial" w:cs="Arial"/>
          <w:lang w:val="en-US"/>
        </w:rPr>
        <w:t>Transplantation 2011; 92:106-111</w:t>
      </w:r>
    </w:p>
    <w:p w14:paraId="679536BB" w14:textId="12DA3521" w:rsidR="00BE4B79" w:rsidRPr="005F2054" w:rsidRDefault="000B0174" w:rsidP="005F2054">
      <w:pPr>
        <w:tabs>
          <w:tab w:val="num" w:pos="720"/>
        </w:tabs>
        <w:spacing w:after="0"/>
        <w:ind w:left="576" w:hanging="576"/>
        <w:rPr>
          <w:rFonts w:ascii="Arial" w:hAnsi="Arial" w:cs="Arial"/>
          <w:lang w:val="en-US"/>
        </w:rPr>
      </w:pPr>
      <w:r w:rsidRPr="005F2054">
        <w:rPr>
          <w:rFonts w:ascii="Arial" w:hAnsi="Arial" w:cs="Arial"/>
          <w:lang w:val="en-US"/>
        </w:rPr>
        <w:t>124.</w:t>
      </w:r>
      <w:r w:rsidR="000A02EB">
        <w:rPr>
          <w:rFonts w:ascii="Arial" w:hAnsi="Arial" w:cs="Arial"/>
          <w:lang w:val="en-US"/>
        </w:rPr>
        <w:t xml:space="preserve">  </w:t>
      </w:r>
      <w:proofErr w:type="spellStart"/>
      <w:r w:rsidR="00E36206" w:rsidRPr="005F2054">
        <w:rPr>
          <w:rFonts w:ascii="Arial" w:hAnsi="Arial" w:cs="Arial"/>
          <w:lang w:val="en-US"/>
        </w:rPr>
        <w:t>Graat</w:t>
      </w:r>
      <w:proofErr w:type="spellEnd"/>
      <w:r w:rsidR="00E36206" w:rsidRPr="005F2054">
        <w:rPr>
          <w:rFonts w:ascii="Arial" w:hAnsi="Arial" w:cs="Arial"/>
          <w:lang w:val="en-US"/>
        </w:rPr>
        <w:t>-Verboom L</w:t>
      </w:r>
      <w:r w:rsidR="00456B8C" w:rsidRPr="005F2054">
        <w:rPr>
          <w:rFonts w:ascii="Arial" w:hAnsi="Arial" w:cs="Arial"/>
          <w:lang w:val="en-US"/>
        </w:rPr>
        <w:t>,</w:t>
      </w:r>
      <w:r w:rsidRPr="005F2054">
        <w:rPr>
          <w:rFonts w:ascii="Arial" w:hAnsi="Arial" w:cs="Arial"/>
          <w:lang w:val="en-US"/>
        </w:rPr>
        <w:t xml:space="preserve"> Wouters</w:t>
      </w:r>
      <w:r w:rsidR="00456B8C" w:rsidRPr="005F2054">
        <w:rPr>
          <w:rFonts w:ascii="Arial" w:hAnsi="Arial" w:cs="Arial"/>
          <w:lang w:val="en-US"/>
        </w:rPr>
        <w:t xml:space="preserve"> EFM</w:t>
      </w:r>
      <w:r w:rsidRPr="005F2054">
        <w:rPr>
          <w:rFonts w:ascii="Arial" w:hAnsi="Arial" w:cs="Arial"/>
          <w:lang w:val="en-US"/>
        </w:rPr>
        <w:t>, Smeenk</w:t>
      </w:r>
      <w:r w:rsidR="00456B8C" w:rsidRPr="005F2054">
        <w:rPr>
          <w:rFonts w:ascii="Arial" w:hAnsi="Arial" w:cs="Arial"/>
          <w:lang w:val="en-US"/>
        </w:rPr>
        <w:t xml:space="preserve"> FWJM</w:t>
      </w:r>
      <w:r w:rsidRPr="005F2054">
        <w:rPr>
          <w:rFonts w:ascii="Arial" w:hAnsi="Arial" w:cs="Arial"/>
          <w:lang w:val="en-US"/>
        </w:rPr>
        <w:t>, van den Borne</w:t>
      </w:r>
      <w:r w:rsidR="00456B8C" w:rsidRPr="005F2054">
        <w:rPr>
          <w:rFonts w:ascii="Arial" w:hAnsi="Arial" w:cs="Arial"/>
          <w:lang w:val="en-US"/>
        </w:rPr>
        <w:t xml:space="preserve"> BEE,</w:t>
      </w:r>
      <w:r w:rsidR="003539F4" w:rsidRPr="005F2054">
        <w:rPr>
          <w:rFonts w:ascii="Arial" w:hAnsi="Arial" w:cs="Arial"/>
          <w:lang w:val="en-US"/>
        </w:rPr>
        <w:t xml:space="preserve"> </w:t>
      </w:r>
      <w:r w:rsidRPr="005F2054">
        <w:rPr>
          <w:rFonts w:ascii="Arial" w:hAnsi="Arial" w:cs="Arial"/>
          <w:lang w:val="en-US"/>
        </w:rPr>
        <w:t>Lunde</w:t>
      </w:r>
      <w:r w:rsidR="00456B8C" w:rsidRPr="005F2054">
        <w:rPr>
          <w:rFonts w:ascii="Arial" w:hAnsi="Arial" w:cs="Arial"/>
          <w:lang w:val="en-US"/>
        </w:rPr>
        <w:t xml:space="preserve"> R</w:t>
      </w:r>
      <w:r w:rsidRPr="005F2054">
        <w:rPr>
          <w:rFonts w:ascii="Arial" w:hAnsi="Arial" w:cs="Arial"/>
          <w:lang w:val="en-US"/>
        </w:rPr>
        <w:t>, Spruit</w:t>
      </w:r>
      <w:r w:rsidR="00456B8C" w:rsidRPr="005F2054">
        <w:rPr>
          <w:rFonts w:ascii="Arial" w:hAnsi="Arial" w:cs="Arial"/>
          <w:lang w:val="en-US"/>
        </w:rPr>
        <w:t xml:space="preserve"> </w:t>
      </w:r>
      <w:r w:rsidR="00171174" w:rsidRPr="005F2054">
        <w:rPr>
          <w:rFonts w:ascii="Arial" w:hAnsi="Arial" w:cs="Arial"/>
          <w:lang w:val="en-US"/>
        </w:rPr>
        <w:t>MA. Current Status</w:t>
      </w:r>
      <w:r w:rsidR="00E36206" w:rsidRPr="005F2054">
        <w:rPr>
          <w:rFonts w:ascii="Arial" w:hAnsi="Arial" w:cs="Arial"/>
          <w:lang w:val="en-US"/>
        </w:rPr>
        <w:t xml:space="preserve"> of research on osteoporosis in COPD: a systematic review. </w:t>
      </w:r>
      <w:proofErr w:type="spellStart"/>
      <w:r w:rsidR="00BE4B79" w:rsidRPr="005F2054">
        <w:rPr>
          <w:rFonts w:ascii="Arial" w:hAnsi="Arial" w:cs="Arial"/>
          <w:lang w:val="en-US"/>
        </w:rPr>
        <w:t>Eur</w:t>
      </w:r>
      <w:proofErr w:type="spellEnd"/>
      <w:r w:rsidR="00BE4B79" w:rsidRPr="005F2054">
        <w:rPr>
          <w:rFonts w:ascii="Arial" w:hAnsi="Arial" w:cs="Arial"/>
          <w:lang w:val="en-US"/>
        </w:rPr>
        <w:t xml:space="preserve"> Respir J  2009 Jul;34(1):209-18</w:t>
      </w:r>
    </w:p>
    <w:p w14:paraId="7D484AE6" w14:textId="64FC1D94" w:rsidR="00E36206" w:rsidRPr="005F2054" w:rsidRDefault="000B0174" w:rsidP="005F2054">
      <w:pPr>
        <w:tabs>
          <w:tab w:val="num" w:pos="720"/>
        </w:tabs>
        <w:spacing w:after="0"/>
        <w:ind w:left="576" w:hanging="576"/>
        <w:rPr>
          <w:rFonts w:ascii="Arial" w:hAnsi="Arial" w:cs="Arial"/>
          <w:lang w:val="en-US"/>
        </w:rPr>
      </w:pPr>
      <w:r w:rsidRPr="005F2054">
        <w:rPr>
          <w:rFonts w:ascii="Arial" w:hAnsi="Arial" w:cs="Arial"/>
          <w:lang w:val="en-US"/>
        </w:rPr>
        <w:t>125</w:t>
      </w:r>
      <w:r w:rsidR="00E36206" w:rsidRPr="005F2054">
        <w:rPr>
          <w:rFonts w:ascii="Arial" w:hAnsi="Arial" w:cs="Arial"/>
          <w:lang w:val="en-US"/>
        </w:rPr>
        <w:t>.</w:t>
      </w:r>
      <w:r w:rsidR="000A02EB">
        <w:rPr>
          <w:rFonts w:ascii="Arial" w:hAnsi="Arial" w:cs="Arial"/>
          <w:lang w:val="en-US"/>
        </w:rPr>
        <w:t xml:space="preserve">  </w:t>
      </w:r>
      <w:r w:rsidR="00E36206" w:rsidRPr="005F2054">
        <w:rPr>
          <w:rFonts w:ascii="Arial" w:hAnsi="Arial" w:cs="Arial"/>
          <w:lang w:val="en-US"/>
        </w:rPr>
        <w:t xml:space="preserve">Ferrari </w:t>
      </w:r>
      <w:r w:rsidR="00171174" w:rsidRPr="005F2054">
        <w:rPr>
          <w:rFonts w:ascii="Arial" w:hAnsi="Arial" w:cs="Arial"/>
          <w:lang w:val="en-US"/>
        </w:rPr>
        <w:t xml:space="preserve">SL, </w:t>
      </w:r>
      <w:r w:rsidRPr="005F2054">
        <w:rPr>
          <w:rFonts w:ascii="Arial" w:hAnsi="Arial" w:cs="Arial"/>
          <w:lang w:val="en-US"/>
        </w:rPr>
        <w:t>Rizzoli</w:t>
      </w:r>
      <w:r w:rsidR="00456B8C" w:rsidRPr="005F2054">
        <w:rPr>
          <w:rFonts w:ascii="Arial" w:hAnsi="Arial" w:cs="Arial"/>
          <w:lang w:val="en-US"/>
        </w:rPr>
        <w:t xml:space="preserve"> SR</w:t>
      </w:r>
      <w:r w:rsidRPr="005F2054">
        <w:rPr>
          <w:rFonts w:ascii="Arial" w:hAnsi="Arial" w:cs="Arial"/>
          <w:lang w:val="en-US"/>
        </w:rPr>
        <w:t>, Nicod</w:t>
      </w:r>
      <w:r w:rsidR="00456B8C" w:rsidRPr="005F2054">
        <w:rPr>
          <w:rFonts w:ascii="Arial" w:hAnsi="Arial" w:cs="Arial"/>
          <w:lang w:val="en-US"/>
        </w:rPr>
        <w:t xml:space="preserve"> </w:t>
      </w:r>
      <w:r w:rsidR="00171174" w:rsidRPr="005F2054">
        <w:rPr>
          <w:rFonts w:ascii="Arial" w:hAnsi="Arial" w:cs="Arial"/>
          <w:lang w:val="en-US"/>
        </w:rPr>
        <w:t>L. Osteoporosis</w:t>
      </w:r>
      <w:r w:rsidR="00E36206" w:rsidRPr="005F2054">
        <w:rPr>
          <w:rFonts w:ascii="Arial" w:hAnsi="Arial" w:cs="Arial"/>
          <w:lang w:val="en-US"/>
        </w:rPr>
        <w:t xml:space="preserve"> in patients undergoing lung transplantation. </w:t>
      </w:r>
      <w:proofErr w:type="spellStart"/>
      <w:r w:rsidR="00E36206" w:rsidRPr="005F2054">
        <w:rPr>
          <w:rFonts w:ascii="Arial" w:hAnsi="Arial" w:cs="Arial"/>
          <w:lang w:val="en-US"/>
        </w:rPr>
        <w:t>Eur</w:t>
      </w:r>
      <w:proofErr w:type="spellEnd"/>
      <w:r w:rsidR="00E36206" w:rsidRPr="005F2054">
        <w:rPr>
          <w:rFonts w:ascii="Arial" w:hAnsi="Arial" w:cs="Arial"/>
          <w:lang w:val="en-US"/>
        </w:rPr>
        <w:t xml:space="preserve"> Respir J </w:t>
      </w:r>
      <w:r w:rsidR="00171174" w:rsidRPr="005F2054">
        <w:rPr>
          <w:rFonts w:ascii="Arial" w:hAnsi="Arial" w:cs="Arial"/>
          <w:lang w:val="en-US"/>
        </w:rPr>
        <w:t>1996; 9:2378</w:t>
      </w:r>
      <w:r w:rsidR="00E36206" w:rsidRPr="005F2054">
        <w:rPr>
          <w:rFonts w:ascii="Arial" w:hAnsi="Arial" w:cs="Arial"/>
          <w:lang w:val="en-US"/>
        </w:rPr>
        <w:t>-82</w:t>
      </w:r>
    </w:p>
    <w:p w14:paraId="762BF2A8" w14:textId="1D97E42B" w:rsidR="00E42933" w:rsidRPr="005F2054" w:rsidRDefault="000B0174" w:rsidP="005F2054">
      <w:pPr>
        <w:spacing w:after="0"/>
        <w:ind w:left="576" w:hanging="576"/>
        <w:rPr>
          <w:rFonts w:ascii="Arial" w:hAnsi="Arial" w:cs="Arial"/>
          <w:lang w:val="en-US"/>
        </w:rPr>
      </w:pPr>
      <w:r w:rsidRPr="005F2054">
        <w:rPr>
          <w:rFonts w:ascii="Arial" w:hAnsi="Arial" w:cs="Arial"/>
          <w:lang w:val="en-US"/>
        </w:rPr>
        <w:t>126</w:t>
      </w:r>
      <w:r w:rsidR="00E36206" w:rsidRPr="005F2054">
        <w:rPr>
          <w:rFonts w:ascii="Arial" w:hAnsi="Arial" w:cs="Arial"/>
          <w:lang w:val="en-US"/>
        </w:rPr>
        <w:t>.</w:t>
      </w:r>
      <w:r w:rsidR="000A02EB">
        <w:rPr>
          <w:rFonts w:ascii="Arial" w:hAnsi="Arial" w:cs="Arial"/>
          <w:lang w:val="en-US"/>
        </w:rPr>
        <w:t xml:space="preserve">  </w:t>
      </w:r>
      <w:r w:rsidR="00E36206" w:rsidRPr="005F2054">
        <w:rPr>
          <w:rFonts w:ascii="Arial" w:hAnsi="Arial" w:cs="Arial"/>
          <w:lang w:val="en-US"/>
        </w:rPr>
        <w:t>Harriman A,</w:t>
      </w:r>
      <w:r w:rsidRPr="005F2054">
        <w:rPr>
          <w:rFonts w:ascii="Arial" w:hAnsi="Arial" w:cs="Arial"/>
          <w:lang w:val="en-US"/>
        </w:rPr>
        <w:t xml:space="preserve"> Alex </w:t>
      </w:r>
      <w:r w:rsidR="00171174" w:rsidRPr="005F2054">
        <w:rPr>
          <w:rFonts w:ascii="Arial" w:hAnsi="Arial" w:cs="Arial"/>
          <w:lang w:val="en-US"/>
        </w:rPr>
        <w:t>C, Heroux</w:t>
      </w:r>
      <w:r w:rsidRPr="005F2054">
        <w:rPr>
          <w:rFonts w:ascii="Arial" w:hAnsi="Arial" w:cs="Arial"/>
          <w:lang w:val="en-US"/>
        </w:rPr>
        <w:t xml:space="preserve"> </w:t>
      </w:r>
      <w:r w:rsidR="00456B8C" w:rsidRPr="005F2054">
        <w:rPr>
          <w:rFonts w:ascii="Arial" w:hAnsi="Arial" w:cs="Arial"/>
          <w:lang w:val="en-US"/>
        </w:rPr>
        <w:t>A</w:t>
      </w:r>
      <w:r w:rsidRPr="005F2054">
        <w:rPr>
          <w:rFonts w:ascii="Arial" w:hAnsi="Arial" w:cs="Arial"/>
          <w:lang w:val="en-US"/>
        </w:rPr>
        <w:t>, Camacho</w:t>
      </w:r>
      <w:r w:rsidR="00456B8C" w:rsidRPr="005F2054">
        <w:rPr>
          <w:rFonts w:ascii="Arial" w:hAnsi="Arial" w:cs="Arial"/>
          <w:lang w:val="en-US"/>
        </w:rPr>
        <w:t xml:space="preserve"> </w:t>
      </w:r>
      <w:r w:rsidR="00171174" w:rsidRPr="005F2054">
        <w:rPr>
          <w:rFonts w:ascii="Arial" w:hAnsi="Arial" w:cs="Arial"/>
          <w:lang w:val="en-US"/>
        </w:rPr>
        <w:t>P. Incidence</w:t>
      </w:r>
      <w:r w:rsidR="00E36206" w:rsidRPr="005F2054">
        <w:rPr>
          <w:rFonts w:ascii="Arial" w:hAnsi="Arial" w:cs="Arial"/>
          <w:lang w:val="en-US"/>
        </w:rPr>
        <w:t xml:space="preserve"> of fractures after cardiac and lung transplantation: a single center experience. Journal of Osteoporosis 2014</w:t>
      </w:r>
      <w:r w:rsidR="00E42933" w:rsidRPr="005F2054">
        <w:rPr>
          <w:rFonts w:ascii="Arial" w:hAnsi="Arial" w:cs="Arial"/>
          <w:lang w:val="en-US"/>
        </w:rPr>
        <w:t>; 2014:2014:573041</w:t>
      </w:r>
    </w:p>
    <w:p w14:paraId="020EBFFB" w14:textId="2BC42DAD" w:rsidR="006B2BF9" w:rsidRPr="005F2054" w:rsidRDefault="006B2BF9" w:rsidP="005F2054">
      <w:pPr>
        <w:spacing w:after="0"/>
        <w:ind w:left="576" w:hanging="576"/>
        <w:rPr>
          <w:rFonts w:ascii="Arial" w:hAnsi="Arial" w:cs="Arial"/>
          <w:lang w:val="en-US"/>
        </w:rPr>
      </w:pPr>
      <w:r w:rsidRPr="005F2054">
        <w:rPr>
          <w:rFonts w:ascii="Arial" w:hAnsi="Arial" w:cs="Arial"/>
          <w:lang w:val="en-US"/>
        </w:rPr>
        <w:t>127.</w:t>
      </w:r>
      <w:r w:rsidR="000A02EB">
        <w:rPr>
          <w:rFonts w:ascii="Arial" w:hAnsi="Arial" w:cs="Arial"/>
          <w:lang w:val="en-US"/>
        </w:rPr>
        <w:t xml:space="preserve">  </w:t>
      </w:r>
      <w:r w:rsidRPr="005F2054">
        <w:rPr>
          <w:rFonts w:ascii="Arial" w:hAnsi="Arial" w:cs="Arial"/>
          <w:lang w:val="en-US"/>
        </w:rPr>
        <w:t xml:space="preserve">Van </w:t>
      </w:r>
      <w:proofErr w:type="spellStart"/>
      <w:r w:rsidRPr="005F2054">
        <w:rPr>
          <w:rFonts w:ascii="Arial" w:hAnsi="Arial" w:cs="Arial"/>
          <w:lang w:val="en-US"/>
        </w:rPr>
        <w:t>Laecke</w:t>
      </w:r>
      <w:proofErr w:type="spellEnd"/>
      <w:r w:rsidRPr="005F2054">
        <w:rPr>
          <w:rFonts w:ascii="Arial" w:hAnsi="Arial" w:cs="Arial"/>
          <w:lang w:val="en-US"/>
        </w:rPr>
        <w:t xml:space="preserve"> S, Van Biesen W. </w:t>
      </w:r>
      <w:proofErr w:type="spellStart"/>
      <w:r w:rsidRPr="005F2054">
        <w:rPr>
          <w:rFonts w:ascii="Arial" w:hAnsi="Arial" w:cs="Arial"/>
          <w:lang w:val="en-US"/>
        </w:rPr>
        <w:t>Hipomagnesaemia</w:t>
      </w:r>
      <w:proofErr w:type="spellEnd"/>
      <w:r w:rsidRPr="005F2054">
        <w:rPr>
          <w:rFonts w:ascii="Arial" w:hAnsi="Arial" w:cs="Arial"/>
          <w:lang w:val="en-US"/>
        </w:rPr>
        <w:t xml:space="preserve"> in kidney transplantation. Transplantation Reviews </w:t>
      </w:r>
      <w:r w:rsidR="00AF3508" w:rsidRPr="005F2054">
        <w:rPr>
          <w:rFonts w:ascii="Arial" w:hAnsi="Arial" w:cs="Arial"/>
          <w:lang w:val="en-US"/>
        </w:rPr>
        <w:t>2015; 29:154</w:t>
      </w:r>
      <w:r w:rsidRPr="005F2054">
        <w:rPr>
          <w:rFonts w:ascii="Arial" w:hAnsi="Arial" w:cs="Arial"/>
          <w:lang w:val="en-US"/>
        </w:rPr>
        <w:t>-150</w:t>
      </w:r>
    </w:p>
    <w:p w14:paraId="4B46961C" w14:textId="422E14CA" w:rsidR="005A64E3" w:rsidRPr="005F2054" w:rsidRDefault="005A64E3" w:rsidP="005F2054">
      <w:pPr>
        <w:spacing w:after="0"/>
        <w:ind w:left="576" w:hanging="576"/>
        <w:rPr>
          <w:rFonts w:ascii="Arial" w:hAnsi="Arial" w:cs="Arial"/>
          <w:lang w:val="en-US"/>
        </w:rPr>
      </w:pPr>
      <w:r w:rsidRPr="005F2054">
        <w:rPr>
          <w:rFonts w:ascii="Arial" w:hAnsi="Arial" w:cs="Arial"/>
          <w:lang w:val="en-US"/>
        </w:rPr>
        <w:t>128.</w:t>
      </w:r>
      <w:r w:rsidR="000A02EB">
        <w:rPr>
          <w:rFonts w:ascii="Arial" w:hAnsi="Arial" w:cs="Arial"/>
          <w:lang w:val="en-US"/>
        </w:rPr>
        <w:t xml:space="preserve">  </w:t>
      </w:r>
      <w:r w:rsidRPr="005F2054">
        <w:rPr>
          <w:rFonts w:ascii="Arial" w:hAnsi="Arial" w:cs="Arial"/>
          <w:lang w:val="en-US"/>
        </w:rPr>
        <w:t xml:space="preserve">Kendler DL, Body JJ, Brandi ML, Broady r, Cannat-Andia J, </w:t>
      </w:r>
      <w:proofErr w:type="spellStart"/>
      <w:r w:rsidRPr="005F2054">
        <w:rPr>
          <w:rFonts w:ascii="Arial" w:hAnsi="Arial" w:cs="Arial"/>
          <w:lang w:val="en-US"/>
        </w:rPr>
        <w:t>Maghraoui</w:t>
      </w:r>
      <w:proofErr w:type="spellEnd"/>
      <w:r w:rsidRPr="005F2054">
        <w:rPr>
          <w:rFonts w:ascii="Arial" w:hAnsi="Arial" w:cs="Arial"/>
          <w:lang w:val="en-US"/>
        </w:rPr>
        <w:t xml:space="preserve"> EI, Guglielmi G, Hadji P, </w:t>
      </w:r>
      <w:proofErr w:type="spellStart"/>
      <w:r w:rsidRPr="005F2054">
        <w:rPr>
          <w:rFonts w:ascii="Arial" w:hAnsi="Arial" w:cs="Arial"/>
          <w:lang w:val="en-US"/>
        </w:rPr>
        <w:t>Pierroz</w:t>
      </w:r>
      <w:proofErr w:type="spellEnd"/>
      <w:r w:rsidRPr="005F2054">
        <w:rPr>
          <w:rFonts w:ascii="Arial" w:hAnsi="Arial" w:cs="Arial"/>
          <w:lang w:val="en-US"/>
        </w:rPr>
        <w:t xml:space="preserve"> DD, </w:t>
      </w:r>
      <w:proofErr w:type="spellStart"/>
      <w:r w:rsidRPr="005F2054">
        <w:rPr>
          <w:rFonts w:ascii="Arial" w:hAnsi="Arial" w:cs="Arial"/>
          <w:lang w:val="en-US"/>
        </w:rPr>
        <w:t>Viller</w:t>
      </w:r>
      <w:proofErr w:type="spellEnd"/>
      <w:r w:rsidRPr="005F2054">
        <w:rPr>
          <w:rFonts w:ascii="Arial" w:hAnsi="Arial" w:cs="Arial"/>
          <w:lang w:val="en-US"/>
        </w:rPr>
        <w:t xml:space="preserve"> TJ, Ebeling PR; Rizzoli R, for the International Osteoporosis Foundation Committee of Scientific Advisors Working Grou</w:t>
      </w:r>
      <w:r w:rsidR="00FF0CB6" w:rsidRPr="005F2054">
        <w:rPr>
          <w:rFonts w:ascii="Arial" w:hAnsi="Arial" w:cs="Arial"/>
          <w:lang w:val="en-US"/>
        </w:rPr>
        <w:t>p</w:t>
      </w:r>
      <w:r w:rsidRPr="005F2054">
        <w:rPr>
          <w:rFonts w:ascii="Arial" w:hAnsi="Arial" w:cs="Arial"/>
          <w:lang w:val="en-US"/>
        </w:rPr>
        <w:t xml:space="preserve"> on Cancer and Bone Disease. </w:t>
      </w:r>
      <w:r w:rsidR="00FF0CB6" w:rsidRPr="005F2054">
        <w:rPr>
          <w:rFonts w:ascii="Arial" w:hAnsi="Arial" w:cs="Arial"/>
          <w:lang w:val="en-US"/>
        </w:rPr>
        <w:t xml:space="preserve">Osteoporosis management in hematologic stem cell transplant recipients: Executive summary.  </w:t>
      </w:r>
      <w:r w:rsidRPr="005F2054">
        <w:rPr>
          <w:rFonts w:ascii="Arial" w:hAnsi="Arial" w:cs="Arial"/>
          <w:lang w:val="en-US"/>
        </w:rPr>
        <w:t xml:space="preserve">Journal of Bone Oncology </w:t>
      </w:r>
      <w:r w:rsidR="00AF3508" w:rsidRPr="005F2054">
        <w:rPr>
          <w:rFonts w:ascii="Arial" w:hAnsi="Arial" w:cs="Arial"/>
          <w:lang w:val="en-US"/>
        </w:rPr>
        <w:t>2021; 28:100361</w:t>
      </w:r>
      <w:r w:rsidR="00FF0CB6" w:rsidRPr="005F2054">
        <w:rPr>
          <w:rFonts w:ascii="Arial" w:hAnsi="Arial" w:cs="Arial"/>
          <w:lang w:val="en-US"/>
        </w:rPr>
        <w:t xml:space="preserve"> </w:t>
      </w:r>
    </w:p>
    <w:p w14:paraId="000078F7" w14:textId="7C658E67" w:rsidR="00E36206" w:rsidRPr="005F2054" w:rsidRDefault="009353EB" w:rsidP="005F2054">
      <w:pPr>
        <w:spacing w:after="0"/>
        <w:ind w:left="576" w:hanging="576"/>
        <w:rPr>
          <w:rFonts w:ascii="Arial" w:hAnsi="Arial" w:cs="Arial"/>
          <w:lang w:val="en-US"/>
        </w:rPr>
      </w:pPr>
      <w:r w:rsidRPr="005F2054">
        <w:rPr>
          <w:rFonts w:ascii="Arial" w:hAnsi="Arial" w:cs="Arial"/>
          <w:lang w:val="en-US"/>
        </w:rPr>
        <w:t>129.</w:t>
      </w:r>
      <w:r w:rsidR="000A02EB">
        <w:rPr>
          <w:rFonts w:ascii="Arial" w:hAnsi="Arial" w:cs="Arial"/>
          <w:lang w:val="en-US"/>
        </w:rPr>
        <w:t xml:space="preserve">  </w:t>
      </w:r>
      <w:proofErr w:type="spellStart"/>
      <w:r w:rsidR="00A66153" w:rsidRPr="005F2054">
        <w:rPr>
          <w:rFonts w:ascii="Arial" w:hAnsi="Arial" w:cs="Arial"/>
          <w:lang w:val="en-US"/>
        </w:rPr>
        <w:t>LeBoff</w:t>
      </w:r>
      <w:proofErr w:type="spellEnd"/>
      <w:r w:rsidR="00A66153" w:rsidRPr="005F2054">
        <w:rPr>
          <w:rFonts w:ascii="Arial" w:hAnsi="Arial" w:cs="Arial"/>
          <w:lang w:val="en-US"/>
        </w:rPr>
        <w:t xml:space="preserve"> MS,  Greenspan, SL, Insogna KL, </w:t>
      </w:r>
      <w:proofErr w:type="spellStart"/>
      <w:r w:rsidR="00A66153" w:rsidRPr="005F2054">
        <w:rPr>
          <w:rFonts w:ascii="Arial" w:hAnsi="Arial" w:cs="Arial"/>
          <w:lang w:val="en-US"/>
        </w:rPr>
        <w:t>Lewiecki</w:t>
      </w:r>
      <w:proofErr w:type="spellEnd"/>
      <w:r w:rsidR="00A66153" w:rsidRPr="005F2054">
        <w:rPr>
          <w:rFonts w:ascii="Arial" w:hAnsi="Arial" w:cs="Arial"/>
          <w:lang w:val="en-US"/>
        </w:rPr>
        <w:t xml:space="preserve"> EM,  Saag KG, Singer AJ, Siris ES . </w:t>
      </w:r>
      <w:r w:rsidR="00A2307B" w:rsidRPr="005F2054">
        <w:rPr>
          <w:rFonts w:ascii="Arial" w:hAnsi="Arial" w:cs="Arial"/>
          <w:lang w:val="en-US"/>
        </w:rPr>
        <w:t>Consensus Statement. T</w:t>
      </w:r>
      <w:r w:rsidR="00A66153" w:rsidRPr="005F2054">
        <w:rPr>
          <w:rFonts w:ascii="Arial" w:hAnsi="Arial" w:cs="Arial"/>
          <w:lang w:val="en-US"/>
        </w:rPr>
        <w:t>he clinician’s guide to prevention and treatment of osteoporosis</w:t>
      </w:r>
      <w:r w:rsidR="00C41869" w:rsidRPr="005F2054">
        <w:rPr>
          <w:rFonts w:ascii="Arial" w:hAnsi="Arial" w:cs="Arial"/>
          <w:lang w:val="en-US"/>
        </w:rPr>
        <w:t>. Osteoporosis International 2022: 33:2049–2102</w:t>
      </w:r>
    </w:p>
    <w:p w14:paraId="2AADD9A3" w14:textId="7865A1F6" w:rsidR="00E36206" w:rsidRPr="005F2054" w:rsidRDefault="00E36206" w:rsidP="005F2054">
      <w:pPr>
        <w:spacing w:after="0"/>
        <w:ind w:left="576" w:hanging="576"/>
        <w:rPr>
          <w:rFonts w:ascii="Arial" w:hAnsi="Arial" w:cs="Arial"/>
          <w:lang w:val="en-US"/>
        </w:rPr>
      </w:pPr>
    </w:p>
    <w:p w14:paraId="7A0240D7" w14:textId="77777777" w:rsidR="005F0FAA" w:rsidRPr="005F2054" w:rsidRDefault="005F0FAA" w:rsidP="005F2054">
      <w:pPr>
        <w:spacing w:after="0"/>
        <w:ind w:left="576" w:hanging="576"/>
        <w:rPr>
          <w:rFonts w:ascii="Arial" w:hAnsi="Arial" w:cs="Arial"/>
          <w:lang w:val="en-GB"/>
        </w:rPr>
      </w:pPr>
    </w:p>
    <w:sectPr w:rsidR="005F0FAA" w:rsidRPr="005F2054" w:rsidSect="0066387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603F" w14:textId="77777777" w:rsidR="00AF01E3" w:rsidRDefault="00AF01E3" w:rsidP="00472D4A">
      <w:pPr>
        <w:spacing w:after="0" w:line="240" w:lineRule="auto"/>
      </w:pPr>
      <w:r>
        <w:separator/>
      </w:r>
    </w:p>
  </w:endnote>
  <w:endnote w:type="continuationSeparator" w:id="0">
    <w:p w14:paraId="6668E09E" w14:textId="77777777" w:rsidR="00AF01E3" w:rsidRDefault="00AF01E3" w:rsidP="004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7EE0D" w14:textId="77777777" w:rsidR="00AF01E3" w:rsidRDefault="00AF01E3" w:rsidP="00472D4A">
      <w:pPr>
        <w:spacing w:after="0" w:line="240" w:lineRule="auto"/>
      </w:pPr>
      <w:r>
        <w:separator/>
      </w:r>
    </w:p>
  </w:footnote>
  <w:footnote w:type="continuationSeparator" w:id="0">
    <w:p w14:paraId="3340B500" w14:textId="77777777" w:rsidR="00AF01E3" w:rsidRDefault="00AF01E3" w:rsidP="0047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22AD" w14:textId="77777777" w:rsidR="00DD5BC3" w:rsidRDefault="00DD5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06C9"/>
    <w:multiLevelType w:val="hybridMultilevel"/>
    <w:tmpl w:val="054CACEA"/>
    <w:lvl w:ilvl="0" w:tplc="7DE65D5C">
      <w:start w:val="1"/>
      <w:numFmt w:val="bullet"/>
      <w:lvlText w:val="-"/>
      <w:lvlJc w:val="left"/>
      <w:pPr>
        <w:ind w:left="360" w:hanging="360"/>
      </w:pPr>
      <w:rPr>
        <w:rFonts w:ascii="Arial" w:eastAsia="Times New Roman" w:hAnsi="Arial" w:cs="Aria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6A56887"/>
    <w:multiLevelType w:val="multilevel"/>
    <w:tmpl w:val="C13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75FB8"/>
    <w:multiLevelType w:val="multilevel"/>
    <w:tmpl w:val="9C3A0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66E6E"/>
    <w:multiLevelType w:val="hybridMultilevel"/>
    <w:tmpl w:val="74EE448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F5C6F55"/>
    <w:multiLevelType w:val="multilevel"/>
    <w:tmpl w:val="CF00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22C46"/>
    <w:multiLevelType w:val="multilevel"/>
    <w:tmpl w:val="6C22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6C0562"/>
    <w:multiLevelType w:val="multilevel"/>
    <w:tmpl w:val="641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C6638"/>
    <w:multiLevelType w:val="hybridMultilevel"/>
    <w:tmpl w:val="CD66481E"/>
    <w:lvl w:ilvl="0" w:tplc="63DC4372">
      <w:start w:val="1"/>
      <w:numFmt w:val="decimal"/>
      <w:lvlText w:val="%1)"/>
      <w:lvlJc w:val="left"/>
      <w:pPr>
        <w:ind w:left="720" w:hanging="360"/>
      </w:pPr>
      <w:rPr>
        <w:rFonts w:hint="default"/>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DB2D56"/>
    <w:multiLevelType w:val="multilevel"/>
    <w:tmpl w:val="CAE2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523E1"/>
    <w:multiLevelType w:val="hybridMultilevel"/>
    <w:tmpl w:val="4F5CF7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10A5E8E"/>
    <w:multiLevelType w:val="multilevel"/>
    <w:tmpl w:val="5FDC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494078"/>
    <w:multiLevelType w:val="hybridMultilevel"/>
    <w:tmpl w:val="3216D914"/>
    <w:lvl w:ilvl="0" w:tplc="595E072A">
      <w:start w:val="1"/>
      <w:numFmt w:val="decimal"/>
      <w:lvlText w:val="%1)"/>
      <w:lvlJc w:val="left"/>
      <w:pPr>
        <w:ind w:left="720" w:hanging="360"/>
      </w:pPr>
      <w:rPr>
        <w:rFonts w:hint="default"/>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C0488A"/>
    <w:multiLevelType w:val="hybridMultilevel"/>
    <w:tmpl w:val="950A4AD4"/>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46451B"/>
    <w:multiLevelType w:val="multilevel"/>
    <w:tmpl w:val="BEC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400AA"/>
    <w:multiLevelType w:val="hybridMultilevel"/>
    <w:tmpl w:val="4642A17E"/>
    <w:lvl w:ilvl="0" w:tplc="C5FE236C">
      <w:start w:val="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23999025">
    <w:abstractNumId w:val="12"/>
  </w:num>
  <w:num w:numId="2" w16cid:durableId="35198379">
    <w:abstractNumId w:val="2"/>
  </w:num>
  <w:num w:numId="3" w16cid:durableId="1782260465">
    <w:abstractNumId w:val="0"/>
  </w:num>
  <w:num w:numId="4" w16cid:durableId="153959114">
    <w:abstractNumId w:val="14"/>
  </w:num>
  <w:num w:numId="5" w16cid:durableId="1959751090">
    <w:abstractNumId w:val="6"/>
  </w:num>
  <w:num w:numId="6" w16cid:durableId="1476291708">
    <w:abstractNumId w:val="5"/>
  </w:num>
  <w:num w:numId="7" w16cid:durableId="1587029951">
    <w:abstractNumId w:val="4"/>
  </w:num>
  <w:num w:numId="8" w16cid:durableId="136848896">
    <w:abstractNumId w:val="3"/>
  </w:num>
  <w:num w:numId="9" w16cid:durableId="567545138">
    <w:abstractNumId w:val="8"/>
  </w:num>
  <w:num w:numId="10" w16cid:durableId="1731153106">
    <w:abstractNumId w:val="1"/>
  </w:num>
  <w:num w:numId="11" w16cid:durableId="1959723642">
    <w:abstractNumId w:val="13"/>
  </w:num>
  <w:num w:numId="12" w16cid:durableId="1553421604">
    <w:abstractNumId w:val="10"/>
  </w:num>
  <w:num w:numId="13" w16cid:durableId="511185382">
    <w:abstractNumId w:val="9"/>
  </w:num>
  <w:num w:numId="14" w16cid:durableId="1071543098">
    <w:abstractNumId w:val="7"/>
  </w:num>
  <w:num w:numId="15" w16cid:durableId="13273927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0NDU0sjQxMrY0NTdW0lEKTi0uzszPAykwNK4FAFT4EGItAAAA"/>
  </w:docVars>
  <w:rsids>
    <w:rsidRoot w:val="002254E2"/>
    <w:rsid w:val="0000090C"/>
    <w:rsid w:val="00001CD1"/>
    <w:rsid w:val="00002757"/>
    <w:rsid w:val="00002E89"/>
    <w:rsid w:val="00005766"/>
    <w:rsid w:val="00005EFD"/>
    <w:rsid w:val="00007D18"/>
    <w:rsid w:val="00010FDA"/>
    <w:rsid w:val="0001320B"/>
    <w:rsid w:val="0001598D"/>
    <w:rsid w:val="00017C62"/>
    <w:rsid w:val="00020F51"/>
    <w:rsid w:val="00021420"/>
    <w:rsid w:val="000231BA"/>
    <w:rsid w:val="000232CC"/>
    <w:rsid w:val="00023BF1"/>
    <w:rsid w:val="000241A4"/>
    <w:rsid w:val="0002451D"/>
    <w:rsid w:val="00024D00"/>
    <w:rsid w:val="00024E74"/>
    <w:rsid w:val="000304B3"/>
    <w:rsid w:val="000315E8"/>
    <w:rsid w:val="00032E39"/>
    <w:rsid w:val="000334DB"/>
    <w:rsid w:val="00036EE8"/>
    <w:rsid w:val="000402F8"/>
    <w:rsid w:val="0004110D"/>
    <w:rsid w:val="00043567"/>
    <w:rsid w:val="00046832"/>
    <w:rsid w:val="00047D8D"/>
    <w:rsid w:val="000511FA"/>
    <w:rsid w:val="00051E92"/>
    <w:rsid w:val="00052505"/>
    <w:rsid w:val="00053381"/>
    <w:rsid w:val="00054526"/>
    <w:rsid w:val="00054EF5"/>
    <w:rsid w:val="00055F29"/>
    <w:rsid w:val="00056145"/>
    <w:rsid w:val="00056F20"/>
    <w:rsid w:val="00057200"/>
    <w:rsid w:val="00057B47"/>
    <w:rsid w:val="000648D1"/>
    <w:rsid w:val="000655F2"/>
    <w:rsid w:val="000702A1"/>
    <w:rsid w:val="00070D0B"/>
    <w:rsid w:val="0007547B"/>
    <w:rsid w:val="00075EB8"/>
    <w:rsid w:val="000763D1"/>
    <w:rsid w:val="000801F7"/>
    <w:rsid w:val="0008376B"/>
    <w:rsid w:val="000900E3"/>
    <w:rsid w:val="000908F5"/>
    <w:rsid w:val="000959BD"/>
    <w:rsid w:val="000A02EB"/>
    <w:rsid w:val="000A29C9"/>
    <w:rsid w:val="000A308C"/>
    <w:rsid w:val="000A46AA"/>
    <w:rsid w:val="000A4CAD"/>
    <w:rsid w:val="000A6380"/>
    <w:rsid w:val="000A7EB4"/>
    <w:rsid w:val="000B0174"/>
    <w:rsid w:val="000B1635"/>
    <w:rsid w:val="000B37A0"/>
    <w:rsid w:val="000B593E"/>
    <w:rsid w:val="000B7D50"/>
    <w:rsid w:val="000C1AD6"/>
    <w:rsid w:val="000C22A1"/>
    <w:rsid w:val="000C426E"/>
    <w:rsid w:val="000C46FA"/>
    <w:rsid w:val="000C4FE2"/>
    <w:rsid w:val="000C611A"/>
    <w:rsid w:val="000C6585"/>
    <w:rsid w:val="000C7675"/>
    <w:rsid w:val="000C7906"/>
    <w:rsid w:val="000D0896"/>
    <w:rsid w:val="000D3690"/>
    <w:rsid w:val="000D36B9"/>
    <w:rsid w:val="000D5720"/>
    <w:rsid w:val="000D66EF"/>
    <w:rsid w:val="000D7F67"/>
    <w:rsid w:val="000E2292"/>
    <w:rsid w:val="000E2F4D"/>
    <w:rsid w:val="000E304D"/>
    <w:rsid w:val="000E46D4"/>
    <w:rsid w:val="000E4AF4"/>
    <w:rsid w:val="000E54ED"/>
    <w:rsid w:val="000E5AF0"/>
    <w:rsid w:val="000E781D"/>
    <w:rsid w:val="000E7853"/>
    <w:rsid w:val="000E7CBC"/>
    <w:rsid w:val="000F16D5"/>
    <w:rsid w:val="000F2B33"/>
    <w:rsid w:val="000F3336"/>
    <w:rsid w:val="001024F6"/>
    <w:rsid w:val="00103B5D"/>
    <w:rsid w:val="00103BF4"/>
    <w:rsid w:val="00104F70"/>
    <w:rsid w:val="00105591"/>
    <w:rsid w:val="00105897"/>
    <w:rsid w:val="00105E8A"/>
    <w:rsid w:val="00106C54"/>
    <w:rsid w:val="00110CEC"/>
    <w:rsid w:val="0011206F"/>
    <w:rsid w:val="0011354D"/>
    <w:rsid w:val="001145FB"/>
    <w:rsid w:val="00115FFB"/>
    <w:rsid w:val="00116BB4"/>
    <w:rsid w:val="00116D44"/>
    <w:rsid w:val="00117918"/>
    <w:rsid w:val="001200F9"/>
    <w:rsid w:val="001216E8"/>
    <w:rsid w:val="00122B29"/>
    <w:rsid w:val="001231EB"/>
    <w:rsid w:val="001237BD"/>
    <w:rsid w:val="0012483E"/>
    <w:rsid w:val="00124B97"/>
    <w:rsid w:val="00126888"/>
    <w:rsid w:val="00126B05"/>
    <w:rsid w:val="0012755E"/>
    <w:rsid w:val="0012775F"/>
    <w:rsid w:val="00127DB4"/>
    <w:rsid w:val="00133292"/>
    <w:rsid w:val="0013426C"/>
    <w:rsid w:val="001356ED"/>
    <w:rsid w:val="00137ABA"/>
    <w:rsid w:val="0014101B"/>
    <w:rsid w:val="00141716"/>
    <w:rsid w:val="00141D6C"/>
    <w:rsid w:val="00145041"/>
    <w:rsid w:val="00145618"/>
    <w:rsid w:val="00147067"/>
    <w:rsid w:val="00147A4E"/>
    <w:rsid w:val="00150248"/>
    <w:rsid w:val="00150FA9"/>
    <w:rsid w:val="00151980"/>
    <w:rsid w:val="00152769"/>
    <w:rsid w:val="0015280B"/>
    <w:rsid w:val="001536D7"/>
    <w:rsid w:val="001538A0"/>
    <w:rsid w:val="001547EA"/>
    <w:rsid w:val="00154CCB"/>
    <w:rsid w:val="00156822"/>
    <w:rsid w:val="00160222"/>
    <w:rsid w:val="00162CA0"/>
    <w:rsid w:val="0016362C"/>
    <w:rsid w:val="00163773"/>
    <w:rsid w:val="00163E32"/>
    <w:rsid w:val="00166CB3"/>
    <w:rsid w:val="001672AA"/>
    <w:rsid w:val="00170EF7"/>
    <w:rsid w:val="00171028"/>
    <w:rsid w:val="00171174"/>
    <w:rsid w:val="001714AE"/>
    <w:rsid w:val="0017239E"/>
    <w:rsid w:val="00173ECC"/>
    <w:rsid w:val="00174124"/>
    <w:rsid w:val="00175450"/>
    <w:rsid w:val="001755E6"/>
    <w:rsid w:val="00180D89"/>
    <w:rsid w:val="00181F17"/>
    <w:rsid w:val="001862CC"/>
    <w:rsid w:val="00186BCF"/>
    <w:rsid w:val="001900EC"/>
    <w:rsid w:val="00190A72"/>
    <w:rsid w:val="0019383A"/>
    <w:rsid w:val="001947F0"/>
    <w:rsid w:val="00196902"/>
    <w:rsid w:val="001A0A2E"/>
    <w:rsid w:val="001A1CA0"/>
    <w:rsid w:val="001A554E"/>
    <w:rsid w:val="001A56FF"/>
    <w:rsid w:val="001A6075"/>
    <w:rsid w:val="001B086D"/>
    <w:rsid w:val="001B31F2"/>
    <w:rsid w:val="001B42C9"/>
    <w:rsid w:val="001B4A3B"/>
    <w:rsid w:val="001B53A9"/>
    <w:rsid w:val="001C4096"/>
    <w:rsid w:val="001C4238"/>
    <w:rsid w:val="001C440B"/>
    <w:rsid w:val="001C48E8"/>
    <w:rsid w:val="001C5A5A"/>
    <w:rsid w:val="001D0862"/>
    <w:rsid w:val="001D4B48"/>
    <w:rsid w:val="001D63E2"/>
    <w:rsid w:val="001D6567"/>
    <w:rsid w:val="001D68A0"/>
    <w:rsid w:val="001D6A18"/>
    <w:rsid w:val="001D768B"/>
    <w:rsid w:val="001D7E35"/>
    <w:rsid w:val="001E0352"/>
    <w:rsid w:val="001E6788"/>
    <w:rsid w:val="001E6B43"/>
    <w:rsid w:val="001F0240"/>
    <w:rsid w:val="001F153A"/>
    <w:rsid w:val="001F16CC"/>
    <w:rsid w:val="001F37CB"/>
    <w:rsid w:val="001F406B"/>
    <w:rsid w:val="001F5D6C"/>
    <w:rsid w:val="001F60FC"/>
    <w:rsid w:val="002010A7"/>
    <w:rsid w:val="0020245C"/>
    <w:rsid w:val="00202955"/>
    <w:rsid w:val="00202D8A"/>
    <w:rsid w:val="002048CD"/>
    <w:rsid w:val="00206704"/>
    <w:rsid w:val="00206FF7"/>
    <w:rsid w:val="0021092C"/>
    <w:rsid w:val="002109D6"/>
    <w:rsid w:val="00212D80"/>
    <w:rsid w:val="002150D0"/>
    <w:rsid w:val="002154F6"/>
    <w:rsid w:val="00215CDD"/>
    <w:rsid w:val="002204F9"/>
    <w:rsid w:val="00220BD2"/>
    <w:rsid w:val="00222079"/>
    <w:rsid w:val="00222ABC"/>
    <w:rsid w:val="002235AC"/>
    <w:rsid w:val="00223686"/>
    <w:rsid w:val="0022542F"/>
    <w:rsid w:val="002254E2"/>
    <w:rsid w:val="00225647"/>
    <w:rsid w:val="00226B64"/>
    <w:rsid w:val="0022792E"/>
    <w:rsid w:val="00235200"/>
    <w:rsid w:val="00235416"/>
    <w:rsid w:val="00235D7B"/>
    <w:rsid w:val="00235E58"/>
    <w:rsid w:val="00241326"/>
    <w:rsid w:val="00244436"/>
    <w:rsid w:val="002501FC"/>
    <w:rsid w:val="00250B32"/>
    <w:rsid w:val="00252455"/>
    <w:rsid w:val="00252B38"/>
    <w:rsid w:val="00254ADD"/>
    <w:rsid w:val="00254C62"/>
    <w:rsid w:val="00255A35"/>
    <w:rsid w:val="00260801"/>
    <w:rsid w:val="002609C2"/>
    <w:rsid w:val="0026108B"/>
    <w:rsid w:val="0026149F"/>
    <w:rsid w:val="0026170B"/>
    <w:rsid w:val="0026282E"/>
    <w:rsid w:val="00264DAD"/>
    <w:rsid w:val="00270D0F"/>
    <w:rsid w:val="0027193D"/>
    <w:rsid w:val="00273611"/>
    <w:rsid w:val="00273C49"/>
    <w:rsid w:val="00275012"/>
    <w:rsid w:val="00275E6D"/>
    <w:rsid w:val="00276BDE"/>
    <w:rsid w:val="002800CD"/>
    <w:rsid w:val="0028199F"/>
    <w:rsid w:val="00284722"/>
    <w:rsid w:val="0028482E"/>
    <w:rsid w:val="002848A9"/>
    <w:rsid w:val="00285C2D"/>
    <w:rsid w:val="00286B5F"/>
    <w:rsid w:val="00287A1E"/>
    <w:rsid w:val="002911AC"/>
    <w:rsid w:val="00292CA3"/>
    <w:rsid w:val="002936BC"/>
    <w:rsid w:val="002A3089"/>
    <w:rsid w:val="002A3332"/>
    <w:rsid w:val="002A372A"/>
    <w:rsid w:val="002A4FFC"/>
    <w:rsid w:val="002A6F03"/>
    <w:rsid w:val="002A7A95"/>
    <w:rsid w:val="002A7E89"/>
    <w:rsid w:val="002B1EC8"/>
    <w:rsid w:val="002B2C51"/>
    <w:rsid w:val="002B400A"/>
    <w:rsid w:val="002B430F"/>
    <w:rsid w:val="002B50E9"/>
    <w:rsid w:val="002B5920"/>
    <w:rsid w:val="002B6A9F"/>
    <w:rsid w:val="002B72DA"/>
    <w:rsid w:val="002B778F"/>
    <w:rsid w:val="002C0428"/>
    <w:rsid w:val="002C0D67"/>
    <w:rsid w:val="002C23A8"/>
    <w:rsid w:val="002C258B"/>
    <w:rsid w:val="002C2D9C"/>
    <w:rsid w:val="002C46AC"/>
    <w:rsid w:val="002C4888"/>
    <w:rsid w:val="002C62EC"/>
    <w:rsid w:val="002D0352"/>
    <w:rsid w:val="002D077E"/>
    <w:rsid w:val="002D1189"/>
    <w:rsid w:val="002D27E4"/>
    <w:rsid w:val="002D62EA"/>
    <w:rsid w:val="002D713A"/>
    <w:rsid w:val="002D740D"/>
    <w:rsid w:val="002E0A8E"/>
    <w:rsid w:val="002E13F2"/>
    <w:rsid w:val="002E3EA0"/>
    <w:rsid w:val="002E6EA9"/>
    <w:rsid w:val="002F33F0"/>
    <w:rsid w:val="002F3AF6"/>
    <w:rsid w:val="00300D50"/>
    <w:rsid w:val="00301628"/>
    <w:rsid w:val="003028FC"/>
    <w:rsid w:val="00304708"/>
    <w:rsid w:val="00305589"/>
    <w:rsid w:val="00311F0B"/>
    <w:rsid w:val="00312175"/>
    <w:rsid w:val="00314DF4"/>
    <w:rsid w:val="00315B6F"/>
    <w:rsid w:val="00316726"/>
    <w:rsid w:val="0031712E"/>
    <w:rsid w:val="0032160F"/>
    <w:rsid w:val="0032293D"/>
    <w:rsid w:val="00322AB5"/>
    <w:rsid w:val="00324865"/>
    <w:rsid w:val="003257F5"/>
    <w:rsid w:val="003266AF"/>
    <w:rsid w:val="003306F0"/>
    <w:rsid w:val="0033384C"/>
    <w:rsid w:val="003339F0"/>
    <w:rsid w:val="00335072"/>
    <w:rsid w:val="00341493"/>
    <w:rsid w:val="00341650"/>
    <w:rsid w:val="003446C2"/>
    <w:rsid w:val="003448D3"/>
    <w:rsid w:val="00344FA9"/>
    <w:rsid w:val="003454F3"/>
    <w:rsid w:val="0034551C"/>
    <w:rsid w:val="00347739"/>
    <w:rsid w:val="00347B95"/>
    <w:rsid w:val="003539F4"/>
    <w:rsid w:val="00362F71"/>
    <w:rsid w:val="0036644C"/>
    <w:rsid w:val="00367D72"/>
    <w:rsid w:val="003705EC"/>
    <w:rsid w:val="003720B8"/>
    <w:rsid w:val="00377745"/>
    <w:rsid w:val="00377D51"/>
    <w:rsid w:val="00381206"/>
    <w:rsid w:val="00381EC3"/>
    <w:rsid w:val="003841FE"/>
    <w:rsid w:val="00384806"/>
    <w:rsid w:val="003857BA"/>
    <w:rsid w:val="003874A3"/>
    <w:rsid w:val="003906F9"/>
    <w:rsid w:val="00390AAF"/>
    <w:rsid w:val="0039229F"/>
    <w:rsid w:val="00392790"/>
    <w:rsid w:val="0039279B"/>
    <w:rsid w:val="00393D79"/>
    <w:rsid w:val="003A0268"/>
    <w:rsid w:val="003A1277"/>
    <w:rsid w:val="003A2F6F"/>
    <w:rsid w:val="003A3858"/>
    <w:rsid w:val="003A3939"/>
    <w:rsid w:val="003A47CA"/>
    <w:rsid w:val="003A4B71"/>
    <w:rsid w:val="003B14FC"/>
    <w:rsid w:val="003B16CF"/>
    <w:rsid w:val="003B418A"/>
    <w:rsid w:val="003B4C50"/>
    <w:rsid w:val="003B70E7"/>
    <w:rsid w:val="003B7BA0"/>
    <w:rsid w:val="003B7C16"/>
    <w:rsid w:val="003C205B"/>
    <w:rsid w:val="003C27F1"/>
    <w:rsid w:val="003C29FB"/>
    <w:rsid w:val="003C4485"/>
    <w:rsid w:val="003C4858"/>
    <w:rsid w:val="003C61BA"/>
    <w:rsid w:val="003C7D73"/>
    <w:rsid w:val="003D16C7"/>
    <w:rsid w:val="003D2E89"/>
    <w:rsid w:val="003D532F"/>
    <w:rsid w:val="003D5634"/>
    <w:rsid w:val="003D6072"/>
    <w:rsid w:val="003E28A3"/>
    <w:rsid w:val="003E4606"/>
    <w:rsid w:val="003E4BDB"/>
    <w:rsid w:val="003E5802"/>
    <w:rsid w:val="003E6515"/>
    <w:rsid w:val="003E6818"/>
    <w:rsid w:val="003E6C80"/>
    <w:rsid w:val="003F0D81"/>
    <w:rsid w:val="003F12BD"/>
    <w:rsid w:val="003F1C1C"/>
    <w:rsid w:val="003F45FC"/>
    <w:rsid w:val="003F4FAC"/>
    <w:rsid w:val="00400BEB"/>
    <w:rsid w:val="00400D02"/>
    <w:rsid w:val="004018B6"/>
    <w:rsid w:val="00402358"/>
    <w:rsid w:val="00403B1F"/>
    <w:rsid w:val="00404975"/>
    <w:rsid w:val="004060F4"/>
    <w:rsid w:val="004061C6"/>
    <w:rsid w:val="004073D7"/>
    <w:rsid w:val="00407760"/>
    <w:rsid w:val="00412387"/>
    <w:rsid w:val="00412D14"/>
    <w:rsid w:val="004136E0"/>
    <w:rsid w:val="0041700B"/>
    <w:rsid w:val="004205B4"/>
    <w:rsid w:val="004206E4"/>
    <w:rsid w:val="004259E3"/>
    <w:rsid w:val="00425E65"/>
    <w:rsid w:val="0043028C"/>
    <w:rsid w:val="00430A54"/>
    <w:rsid w:val="00431AD4"/>
    <w:rsid w:val="00431E14"/>
    <w:rsid w:val="004333FC"/>
    <w:rsid w:val="00434BB0"/>
    <w:rsid w:val="004359A9"/>
    <w:rsid w:val="00436413"/>
    <w:rsid w:val="00444EF3"/>
    <w:rsid w:val="00444F62"/>
    <w:rsid w:val="00446BAD"/>
    <w:rsid w:val="00447EF8"/>
    <w:rsid w:val="00452198"/>
    <w:rsid w:val="00454608"/>
    <w:rsid w:val="00455D4B"/>
    <w:rsid w:val="00456B8C"/>
    <w:rsid w:val="00457497"/>
    <w:rsid w:val="004612FE"/>
    <w:rsid w:val="004616A8"/>
    <w:rsid w:val="00462FF7"/>
    <w:rsid w:val="004659FE"/>
    <w:rsid w:val="004660C1"/>
    <w:rsid w:val="0046743C"/>
    <w:rsid w:val="00467A6C"/>
    <w:rsid w:val="00467CFF"/>
    <w:rsid w:val="0047090D"/>
    <w:rsid w:val="00470A03"/>
    <w:rsid w:val="00471645"/>
    <w:rsid w:val="00472288"/>
    <w:rsid w:val="00472D4A"/>
    <w:rsid w:val="004739D7"/>
    <w:rsid w:val="004744D7"/>
    <w:rsid w:val="00474535"/>
    <w:rsid w:val="00474709"/>
    <w:rsid w:val="00481A2B"/>
    <w:rsid w:val="004824C9"/>
    <w:rsid w:val="004868F8"/>
    <w:rsid w:val="004906F4"/>
    <w:rsid w:val="00497026"/>
    <w:rsid w:val="004A32E1"/>
    <w:rsid w:val="004A604F"/>
    <w:rsid w:val="004A61F1"/>
    <w:rsid w:val="004A63E4"/>
    <w:rsid w:val="004A66E9"/>
    <w:rsid w:val="004B0ACA"/>
    <w:rsid w:val="004B0E97"/>
    <w:rsid w:val="004B2675"/>
    <w:rsid w:val="004B3CF4"/>
    <w:rsid w:val="004B4701"/>
    <w:rsid w:val="004B7E82"/>
    <w:rsid w:val="004C16F7"/>
    <w:rsid w:val="004C7EAB"/>
    <w:rsid w:val="004D018B"/>
    <w:rsid w:val="004D223C"/>
    <w:rsid w:val="004D3144"/>
    <w:rsid w:val="004D54BF"/>
    <w:rsid w:val="004D5E05"/>
    <w:rsid w:val="004D7A79"/>
    <w:rsid w:val="004E1781"/>
    <w:rsid w:val="004E1A74"/>
    <w:rsid w:val="004E67EB"/>
    <w:rsid w:val="004F0567"/>
    <w:rsid w:val="004F1550"/>
    <w:rsid w:val="004F2837"/>
    <w:rsid w:val="004F3C86"/>
    <w:rsid w:val="004F3FE9"/>
    <w:rsid w:val="004F4696"/>
    <w:rsid w:val="004F6DDE"/>
    <w:rsid w:val="004F73F4"/>
    <w:rsid w:val="00500F9C"/>
    <w:rsid w:val="00501038"/>
    <w:rsid w:val="00501D71"/>
    <w:rsid w:val="005029F3"/>
    <w:rsid w:val="0050359E"/>
    <w:rsid w:val="00504435"/>
    <w:rsid w:val="005057F5"/>
    <w:rsid w:val="005065A9"/>
    <w:rsid w:val="005073CD"/>
    <w:rsid w:val="00507968"/>
    <w:rsid w:val="00507E4C"/>
    <w:rsid w:val="00513094"/>
    <w:rsid w:val="005148AA"/>
    <w:rsid w:val="005160C0"/>
    <w:rsid w:val="005168CF"/>
    <w:rsid w:val="00521AA8"/>
    <w:rsid w:val="00521BF8"/>
    <w:rsid w:val="00523D02"/>
    <w:rsid w:val="0052661A"/>
    <w:rsid w:val="005267C4"/>
    <w:rsid w:val="005321AB"/>
    <w:rsid w:val="00533CE6"/>
    <w:rsid w:val="005357DD"/>
    <w:rsid w:val="00537CB2"/>
    <w:rsid w:val="00537CFF"/>
    <w:rsid w:val="005404EA"/>
    <w:rsid w:val="00540B95"/>
    <w:rsid w:val="005411B6"/>
    <w:rsid w:val="0054128C"/>
    <w:rsid w:val="00541C30"/>
    <w:rsid w:val="00547DCF"/>
    <w:rsid w:val="00547FF0"/>
    <w:rsid w:val="0055036A"/>
    <w:rsid w:val="005504B0"/>
    <w:rsid w:val="00550FD2"/>
    <w:rsid w:val="00551EF5"/>
    <w:rsid w:val="00552B46"/>
    <w:rsid w:val="00554B44"/>
    <w:rsid w:val="00555A4F"/>
    <w:rsid w:val="00560D10"/>
    <w:rsid w:val="00561F01"/>
    <w:rsid w:val="005652E3"/>
    <w:rsid w:val="00565751"/>
    <w:rsid w:val="00567577"/>
    <w:rsid w:val="00567700"/>
    <w:rsid w:val="0057112D"/>
    <w:rsid w:val="00572355"/>
    <w:rsid w:val="005731EC"/>
    <w:rsid w:val="00573A35"/>
    <w:rsid w:val="00573F48"/>
    <w:rsid w:val="00577356"/>
    <w:rsid w:val="00577724"/>
    <w:rsid w:val="00580291"/>
    <w:rsid w:val="00580CFA"/>
    <w:rsid w:val="005810A0"/>
    <w:rsid w:val="005811DD"/>
    <w:rsid w:val="00581A08"/>
    <w:rsid w:val="0058353B"/>
    <w:rsid w:val="00584759"/>
    <w:rsid w:val="00584DD6"/>
    <w:rsid w:val="00584EC1"/>
    <w:rsid w:val="00585C9E"/>
    <w:rsid w:val="0059002F"/>
    <w:rsid w:val="00591B6A"/>
    <w:rsid w:val="00591D32"/>
    <w:rsid w:val="00592500"/>
    <w:rsid w:val="00592754"/>
    <w:rsid w:val="00593EAF"/>
    <w:rsid w:val="00595742"/>
    <w:rsid w:val="005971B6"/>
    <w:rsid w:val="00597750"/>
    <w:rsid w:val="00597D42"/>
    <w:rsid w:val="00597DF6"/>
    <w:rsid w:val="005A1471"/>
    <w:rsid w:val="005A408C"/>
    <w:rsid w:val="005A419D"/>
    <w:rsid w:val="005A4A3B"/>
    <w:rsid w:val="005A62EC"/>
    <w:rsid w:val="005A64E3"/>
    <w:rsid w:val="005B3AAC"/>
    <w:rsid w:val="005B442E"/>
    <w:rsid w:val="005B57F5"/>
    <w:rsid w:val="005B72E7"/>
    <w:rsid w:val="005B7327"/>
    <w:rsid w:val="005C1086"/>
    <w:rsid w:val="005C1724"/>
    <w:rsid w:val="005C2048"/>
    <w:rsid w:val="005C7C90"/>
    <w:rsid w:val="005D0C26"/>
    <w:rsid w:val="005D153D"/>
    <w:rsid w:val="005D27B8"/>
    <w:rsid w:val="005D3C80"/>
    <w:rsid w:val="005D4466"/>
    <w:rsid w:val="005D4765"/>
    <w:rsid w:val="005D62FC"/>
    <w:rsid w:val="005E1421"/>
    <w:rsid w:val="005E235F"/>
    <w:rsid w:val="005F0FAA"/>
    <w:rsid w:val="005F2054"/>
    <w:rsid w:val="005F2E50"/>
    <w:rsid w:val="005F6B97"/>
    <w:rsid w:val="00601520"/>
    <w:rsid w:val="00601ACE"/>
    <w:rsid w:val="00601B9C"/>
    <w:rsid w:val="00601DDF"/>
    <w:rsid w:val="00604892"/>
    <w:rsid w:val="0060523B"/>
    <w:rsid w:val="00606178"/>
    <w:rsid w:val="00612754"/>
    <w:rsid w:val="00612F8B"/>
    <w:rsid w:val="00613CCF"/>
    <w:rsid w:val="00613E9C"/>
    <w:rsid w:val="00616B44"/>
    <w:rsid w:val="00616CAC"/>
    <w:rsid w:val="00620744"/>
    <w:rsid w:val="00621B81"/>
    <w:rsid w:val="00626D59"/>
    <w:rsid w:val="00627300"/>
    <w:rsid w:val="006318B4"/>
    <w:rsid w:val="00631FD5"/>
    <w:rsid w:val="00632018"/>
    <w:rsid w:val="006359ED"/>
    <w:rsid w:val="006401A5"/>
    <w:rsid w:val="00641399"/>
    <w:rsid w:val="00641E0F"/>
    <w:rsid w:val="00644B86"/>
    <w:rsid w:val="00644C42"/>
    <w:rsid w:val="00644DF6"/>
    <w:rsid w:val="00646064"/>
    <w:rsid w:val="006462E7"/>
    <w:rsid w:val="0064689A"/>
    <w:rsid w:val="00646F45"/>
    <w:rsid w:val="006478DD"/>
    <w:rsid w:val="0064791B"/>
    <w:rsid w:val="00651A0F"/>
    <w:rsid w:val="00651F9A"/>
    <w:rsid w:val="00653032"/>
    <w:rsid w:val="00653D04"/>
    <w:rsid w:val="00657D77"/>
    <w:rsid w:val="0066387B"/>
    <w:rsid w:val="00664ACC"/>
    <w:rsid w:val="00665957"/>
    <w:rsid w:val="0066718C"/>
    <w:rsid w:val="00667F4C"/>
    <w:rsid w:val="00673A75"/>
    <w:rsid w:val="00673BFA"/>
    <w:rsid w:val="0067476D"/>
    <w:rsid w:val="00675421"/>
    <w:rsid w:val="00675667"/>
    <w:rsid w:val="006803F7"/>
    <w:rsid w:val="00684E07"/>
    <w:rsid w:val="00686370"/>
    <w:rsid w:val="00687C9A"/>
    <w:rsid w:val="00690D6B"/>
    <w:rsid w:val="0069179A"/>
    <w:rsid w:val="00693A66"/>
    <w:rsid w:val="0069527F"/>
    <w:rsid w:val="006A0580"/>
    <w:rsid w:val="006A1A5E"/>
    <w:rsid w:val="006A3477"/>
    <w:rsid w:val="006A5F21"/>
    <w:rsid w:val="006A6C36"/>
    <w:rsid w:val="006A7623"/>
    <w:rsid w:val="006A7A86"/>
    <w:rsid w:val="006B06BA"/>
    <w:rsid w:val="006B1284"/>
    <w:rsid w:val="006B2482"/>
    <w:rsid w:val="006B2BF9"/>
    <w:rsid w:val="006B2CB7"/>
    <w:rsid w:val="006B33A2"/>
    <w:rsid w:val="006B36CC"/>
    <w:rsid w:val="006B4CA7"/>
    <w:rsid w:val="006B6B1A"/>
    <w:rsid w:val="006C1635"/>
    <w:rsid w:val="006C1DA5"/>
    <w:rsid w:val="006C32D1"/>
    <w:rsid w:val="006C45FC"/>
    <w:rsid w:val="006C55FC"/>
    <w:rsid w:val="006C56CA"/>
    <w:rsid w:val="006C669B"/>
    <w:rsid w:val="006C6B3B"/>
    <w:rsid w:val="006C6CDC"/>
    <w:rsid w:val="006C7F34"/>
    <w:rsid w:val="006D1498"/>
    <w:rsid w:val="006D2FF4"/>
    <w:rsid w:val="006D5C92"/>
    <w:rsid w:val="006D73A2"/>
    <w:rsid w:val="006E3D4A"/>
    <w:rsid w:val="006E68F1"/>
    <w:rsid w:val="006E7155"/>
    <w:rsid w:val="006E75FF"/>
    <w:rsid w:val="006F1650"/>
    <w:rsid w:val="006F2486"/>
    <w:rsid w:val="006F2879"/>
    <w:rsid w:val="006F412F"/>
    <w:rsid w:val="006F63E3"/>
    <w:rsid w:val="006F6D97"/>
    <w:rsid w:val="006F6FBD"/>
    <w:rsid w:val="00700426"/>
    <w:rsid w:val="007017D4"/>
    <w:rsid w:val="0070329E"/>
    <w:rsid w:val="00707ECA"/>
    <w:rsid w:val="00711727"/>
    <w:rsid w:val="0071259C"/>
    <w:rsid w:val="00712B80"/>
    <w:rsid w:val="00713425"/>
    <w:rsid w:val="00713791"/>
    <w:rsid w:val="007147AB"/>
    <w:rsid w:val="0071609A"/>
    <w:rsid w:val="00721D50"/>
    <w:rsid w:val="007235D4"/>
    <w:rsid w:val="007236EA"/>
    <w:rsid w:val="00724795"/>
    <w:rsid w:val="007248CE"/>
    <w:rsid w:val="00730BE9"/>
    <w:rsid w:val="00733FC0"/>
    <w:rsid w:val="00735928"/>
    <w:rsid w:val="00735BF2"/>
    <w:rsid w:val="007409E9"/>
    <w:rsid w:val="00740AE3"/>
    <w:rsid w:val="00740BA6"/>
    <w:rsid w:val="00740CAA"/>
    <w:rsid w:val="00743F6C"/>
    <w:rsid w:val="00745E61"/>
    <w:rsid w:val="0074609C"/>
    <w:rsid w:val="00747096"/>
    <w:rsid w:val="00747EED"/>
    <w:rsid w:val="00753038"/>
    <w:rsid w:val="00754960"/>
    <w:rsid w:val="00757E24"/>
    <w:rsid w:val="00761623"/>
    <w:rsid w:val="00761C8F"/>
    <w:rsid w:val="007620D9"/>
    <w:rsid w:val="007645EA"/>
    <w:rsid w:val="00764E23"/>
    <w:rsid w:val="00766FFB"/>
    <w:rsid w:val="0076711B"/>
    <w:rsid w:val="00770258"/>
    <w:rsid w:val="00772E17"/>
    <w:rsid w:val="00773D4D"/>
    <w:rsid w:val="0077487F"/>
    <w:rsid w:val="00774A21"/>
    <w:rsid w:val="00775492"/>
    <w:rsid w:val="00782656"/>
    <w:rsid w:val="007857F6"/>
    <w:rsid w:val="007869A5"/>
    <w:rsid w:val="0078726A"/>
    <w:rsid w:val="007875C0"/>
    <w:rsid w:val="0079146E"/>
    <w:rsid w:val="0079156D"/>
    <w:rsid w:val="00791FE0"/>
    <w:rsid w:val="007948F8"/>
    <w:rsid w:val="00794C79"/>
    <w:rsid w:val="00795051"/>
    <w:rsid w:val="007959CE"/>
    <w:rsid w:val="007966F6"/>
    <w:rsid w:val="00796CFC"/>
    <w:rsid w:val="007978C2"/>
    <w:rsid w:val="007A1699"/>
    <w:rsid w:val="007A1F32"/>
    <w:rsid w:val="007A32B0"/>
    <w:rsid w:val="007A4509"/>
    <w:rsid w:val="007A5F19"/>
    <w:rsid w:val="007B6CE6"/>
    <w:rsid w:val="007B7B44"/>
    <w:rsid w:val="007C03DA"/>
    <w:rsid w:val="007C102F"/>
    <w:rsid w:val="007C1678"/>
    <w:rsid w:val="007C5F19"/>
    <w:rsid w:val="007C675A"/>
    <w:rsid w:val="007D3EEB"/>
    <w:rsid w:val="007D5200"/>
    <w:rsid w:val="007E085E"/>
    <w:rsid w:val="007E1876"/>
    <w:rsid w:val="007E2544"/>
    <w:rsid w:val="007E3AA3"/>
    <w:rsid w:val="007E4CA2"/>
    <w:rsid w:val="007E7BBB"/>
    <w:rsid w:val="007F0553"/>
    <w:rsid w:val="007F0EE4"/>
    <w:rsid w:val="007F15A6"/>
    <w:rsid w:val="007F1B8D"/>
    <w:rsid w:val="007F23CC"/>
    <w:rsid w:val="007F3152"/>
    <w:rsid w:val="007F38F8"/>
    <w:rsid w:val="0080021B"/>
    <w:rsid w:val="0080176D"/>
    <w:rsid w:val="00801BDA"/>
    <w:rsid w:val="00801CE5"/>
    <w:rsid w:val="00802258"/>
    <w:rsid w:val="008024F4"/>
    <w:rsid w:val="008039EF"/>
    <w:rsid w:val="00803BC3"/>
    <w:rsid w:val="00803C1B"/>
    <w:rsid w:val="0080610F"/>
    <w:rsid w:val="00807139"/>
    <w:rsid w:val="00810414"/>
    <w:rsid w:val="00813730"/>
    <w:rsid w:val="00814A38"/>
    <w:rsid w:val="00814B14"/>
    <w:rsid w:val="00814FEB"/>
    <w:rsid w:val="0081682D"/>
    <w:rsid w:val="00816FD8"/>
    <w:rsid w:val="00817625"/>
    <w:rsid w:val="00820EDA"/>
    <w:rsid w:val="00821018"/>
    <w:rsid w:val="00822811"/>
    <w:rsid w:val="00822BD4"/>
    <w:rsid w:val="008238A6"/>
    <w:rsid w:val="00823FA7"/>
    <w:rsid w:val="00824D4B"/>
    <w:rsid w:val="00824E58"/>
    <w:rsid w:val="00825DAA"/>
    <w:rsid w:val="008260DA"/>
    <w:rsid w:val="00832AB2"/>
    <w:rsid w:val="00832C8B"/>
    <w:rsid w:val="008343D0"/>
    <w:rsid w:val="0083478C"/>
    <w:rsid w:val="00835E84"/>
    <w:rsid w:val="00836604"/>
    <w:rsid w:val="00836EB5"/>
    <w:rsid w:val="0083785F"/>
    <w:rsid w:val="00843941"/>
    <w:rsid w:val="00845A79"/>
    <w:rsid w:val="00851B68"/>
    <w:rsid w:val="00854538"/>
    <w:rsid w:val="00854B82"/>
    <w:rsid w:val="00855357"/>
    <w:rsid w:val="008561E5"/>
    <w:rsid w:val="0085692B"/>
    <w:rsid w:val="00857FFB"/>
    <w:rsid w:val="00860D23"/>
    <w:rsid w:val="00861360"/>
    <w:rsid w:val="008635E5"/>
    <w:rsid w:val="00863FA0"/>
    <w:rsid w:val="00864508"/>
    <w:rsid w:val="008646FD"/>
    <w:rsid w:val="00864DFF"/>
    <w:rsid w:val="00865912"/>
    <w:rsid w:val="00865D66"/>
    <w:rsid w:val="00866665"/>
    <w:rsid w:val="00870AB0"/>
    <w:rsid w:val="00871CFC"/>
    <w:rsid w:val="00872333"/>
    <w:rsid w:val="00873807"/>
    <w:rsid w:val="008773CD"/>
    <w:rsid w:val="00880217"/>
    <w:rsid w:val="0088037B"/>
    <w:rsid w:val="0088213E"/>
    <w:rsid w:val="0088331A"/>
    <w:rsid w:val="008836A0"/>
    <w:rsid w:val="00883F50"/>
    <w:rsid w:val="00885D9C"/>
    <w:rsid w:val="00886D71"/>
    <w:rsid w:val="00887106"/>
    <w:rsid w:val="00892261"/>
    <w:rsid w:val="00892BF1"/>
    <w:rsid w:val="00893ABA"/>
    <w:rsid w:val="0089476D"/>
    <w:rsid w:val="00895083"/>
    <w:rsid w:val="0089699B"/>
    <w:rsid w:val="00896C19"/>
    <w:rsid w:val="00897145"/>
    <w:rsid w:val="00897F4F"/>
    <w:rsid w:val="008A433E"/>
    <w:rsid w:val="008A6720"/>
    <w:rsid w:val="008A7E80"/>
    <w:rsid w:val="008B19CC"/>
    <w:rsid w:val="008B29D3"/>
    <w:rsid w:val="008B43A5"/>
    <w:rsid w:val="008B45A8"/>
    <w:rsid w:val="008B4B28"/>
    <w:rsid w:val="008B60C3"/>
    <w:rsid w:val="008C0DBE"/>
    <w:rsid w:val="008C3FFC"/>
    <w:rsid w:val="008C43C6"/>
    <w:rsid w:val="008C43EB"/>
    <w:rsid w:val="008C4B3B"/>
    <w:rsid w:val="008C70A1"/>
    <w:rsid w:val="008C7516"/>
    <w:rsid w:val="008D0E9B"/>
    <w:rsid w:val="008D2CE2"/>
    <w:rsid w:val="008D7A82"/>
    <w:rsid w:val="008E0AFA"/>
    <w:rsid w:val="008E265D"/>
    <w:rsid w:val="008E306F"/>
    <w:rsid w:val="008E33A8"/>
    <w:rsid w:val="008E359E"/>
    <w:rsid w:val="008E5024"/>
    <w:rsid w:val="008E5767"/>
    <w:rsid w:val="008E7B98"/>
    <w:rsid w:val="008F2017"/>
    <w:rsid w:val="008F4870"/>
    <w:rsid w:val="008F6A1F"/>
    <w:rsid w:val="008F7A87"/>
    <w:rsid w:val="00900500"/>
    <w:rsid w:val="00900557"/>
    <w:rsid w:val="0090166F"/>
    <w:rsid w:val="00902A7F"/>
    <w:rsid w:val="00902BD7"/>
    <w:rsid w:val="00903205"/>
    <w:rsid w:val="00903760"/>
    <w:rsid w:val="00905513"/>
    <w:rsid w:val="0090614C"/>
    <w:rsid w:val="00906CF7"/>
    <w:rsid w:val="00907236"/>
    <w:rsid w:val="00910B3C"/>
    <w:rsid w:val="00911D4C"/>
    <w:rsid w:val="009122BB"/>
    <w:rsid w:val="009125CB"/>
    <w:rsid w:val="00912DB1"/>
    <w:rsid w:val="009144A6"/>
    <w:rsid w:val="00916497"/>
    <w:rsid w:val="00921CE2"/>
    <w:rsid w:val="00923976"/>
    <w:rsid w:val="00926F40"/>
    <w:rsid w:val="00931A71"/>
    <w:rsid w:val="0093296F"/>
    <w:rsid w:val="00933177"/>
    <w:rsid w:val="00934319"/>
    <w:rsid w:val="00934B40"/>
    <w:rsid w:val="00935052"/>
    <w:rsid w:val="009353EB"/>
    <w:rsid w:val="00936446"/>
    <w:rsid w:val="00936469"/>
    <w:rsid w:val="00936BA3"/>
    <w:rsid w:val="009438D8"/>
    <w:rsid w:val="00944BAE"/>
    <w:rsid w:val="0094770A"/>
    <w:rsid w:val="0095012E"/>
    <w:rsid w:val="0095080F"/>
    <w:rsid w:val="009527F3"/>
    <w:rsid w:val="00956C05"/>
    <w:rsid w:val="00962607"/>
    <w:rsid w:val="00962F28"/>
    <w:rsid w:val="00963230"/>
    <w:rsid w:val="00963F93"/>
    <w:rsid w:val="009647D6"/>
    <w:rsid w:val="0096777E"/>
    <w:rsid w:val="009678BD"/>
    <w:rsid w:val="00972662"/>
    <w:rsid w:val="00972891"/>
    <w:rsid w:val="00972BE5"/>
    <w:rsid w:val="00972D07"/>
    <w:rsid w:val="009760B7"/>
    <w:rsid w:val="00981EEA"/>
    <w:rsid w:val="00983104"/>
    <w:rsid w:val="00983A3C"/>
    <w:rsid w:val="00986453"/>
    <w:rsid w:val="00987D0F"/>
    <w:rsid w:val="00990B37"/>
    <w:rsid w:val="00991CC8"/>
    <w:rsid w:val="00994F5F"/>
    <w:rsid w:val="0099661B"/>
    <w:rsid w:val="009A10C5"/>
    <w:rsid w:val="009A2465"/>
    <w:rsid w:val="009A2E42"/>
    <w:rsid w:val="009A56AD"/>
    <w:rsid w:val="009A64ED"/>
    <w:rsid w:val="009B090E"/>
    <w:rsid w:val="009B37C7"/>
    <w:rsid w:val="009B6A37"/>
    <w:rsid w:val="009B790A"/>
    <w:rsid w:val="009C2D82"/>
    <w:rsid w:val="009C34D0"/>
    <w:rsid w:val="009C5D3D"/>
    <w:rsid w:val="009C7F98"/>
    <w:rsid w:val="009D0614"/>
    <w:rsid w:val="009D18C4"/>
    <w:rsid w:val="009D4530"/>
    <w:rsid w:val="009D50F2"/>
    <w:rsid w:val="009E06C2"/>
    <w:rsid w:val="009E0B49"/>
    <w:rsid w:val="009E0FC5"/>
    <w:rsid w:val="009E184A"/>
    <w:rsid w:val="009E1923"/>
    <w:rsid w:val="009E4456"/>
    <w:rsid w:val="009E76BA"/>
    <w:rsid w:val="009F34AE"/>
    <w:rsid w:val="009F5665"/>
    <w:rsid w:val="009F5C15"/>
    <w:rsid w:val="00A03156"/>
    <w:rsid w:val="00A056C7"/>
    <w:rsid w:val="00A12D85"/>
    <w:rsid w:val="00A136A2"/>
    <w:rsid w:val="00A137C4"/>
    <w:rsid w:val="00A161C1"/>
    <w:rsid w:val="00A16CA8"/>
    <w:rsid w:val="00A20BB8"/>
    <w:rsid w:val="00A2307B"/>
    <w:rsid w:val="00A23933"/>
    <w:rsid w:val="00A24771"/>
    <w:rsid w:val="00A25E34"/>
    <w:rsid w:val="00A27EA5"/>
    <w:rsid w:val="00A30D15"/>
    <w:rsid w:val="00A31A7A"/>
    <w:rsid w:val="00A353E0"/>
    <w:rsid w:val="00A37ADB"/>
    <w:rsid w:val="00A408FF"/>
    <w:rsid w:val="00A420BC"/>
    <w:rsid w:val="00A4488C"/>
    <w:rsid w:val="00A44FE3"/>
    <w:rsid w:val="00A45FA2"/>
    <w:rsid w:val="00A468AA"/>
    <w:rsid w:val="00A46A60"/>
    <w:rsid w:val="00A531F4"/>
    <w:rsid w:val="00A546F5"/>
    <w:rsid w:val="00A622A2"/>
    <w:rsid w:val="00A64CB4"/>
    <w:rsid w:val="00A65DA5"/>
    <w:rsid w:val="00A66153"/>
    <w:rsid w:val="00A66F67"/>
    <w:rsid w:val="00A70E31"/>
    <w:rsid w:val="00A7265C"/>
    <w:rsid w:val="00A727B0"/>
    <w:rsid w:val="00A72C32"/>
    <w:rsid w:val="00A73117"/>
    <w:rsid w:val="00A73A8B"/>
    <w:rsid w:val="00A73B25"/>
    <w:rsid w:val="00A74C1E"/>
    <w:rsid w:val="00A77083"/>
    <w:rsid w:val="00A773C5"/>
    <w:rsid w:val="00A819DE"/>
    <w:rsid w:val="00A82C24"/>
    <w:rsid w:val="00A857E2"/>
    <w:rsid w:val="00A85E56"/>
    <w:rsid w:val="00A86969"/>
    <w:rsid w:val="00A926ED"/>
    <w:rsid w:val="00A95A9D"/>
    <w:rsid w:val="00AA08BE"/>
    <w:rsid w:val="00AA2A72"/>
    <w:rsid w:val="00AA5716"/>
    <w:rsid w:val="00AA75D0"/>
    <w:rsid w:val="00AA79E1"/>
    <w:rsid w:val="00AB0C29"/>
    <w:rsid w:val="00AB4FC2"/>
    <w:rsid w:val="00AB61C7"/>
    <w:rsid w:val="00AB626E"/>
    <w:rsid w:val="00AC301A"/>
    <w:rsid w:val="00AC54BD"/>
    <w:rsid w:val="00AC5856"/>
    <w:rsid w:val="00AC79BB"/>
    <w:rsid w:val="00AD19A9"/>
    <w:rsid w:val="00AD2B57"/>
    <w:rsid w:val="00AD2E87"/>
    <w:rsid w:val="00AD4615"/>
    <w:rsid w:val="00AD4A73"/>
    <w:rsid w:val="00AD4B53"/>
    <w:rsid w:val="00AD5B31"/>
    <w:rsid w:val="00AD6BD2"/>
    <w:rsid w:val="00AD72BC"/>
    <w:rsid w:val="00AE12DB"/>
    <w:rsid w:val="00AE2F67"/>
    <w:rsid w:val="00AE34B9"/>
    <w:rsid w:val="00AE4D80"/>
    <w:rsid w:val="00AE5914"/>
    <w:rsid w:val="00AE5DD6"/>
    <w:rsid w:val="00AE702F"/>
    <w:rsid w:val="00AE7BB9"/>
    <w:rsid w:val="00AF01E3"/>
    <w:rsid w:val="00AF23DC"/>
    <w:rsid w:val="00AF3508"/>
    <w:rsid w:val="00AF407B"/>
    <w:rsid w:val="00AF5165"/>
    <w:rsid w:val="00AF6178"/>
    <w:rsid w:val="00AF648E"/>
    <w:rsid w:val="00AF6791"/>
    <w:rsid w:val="00B01DB5"/>
    <w:rsid w:val="00B043AC"/>
    <w:rsid w:val="00B04B25"/>
    <w:rsid w:val="00B04C02"/>
    <w:rsid w:val="00B04C36"/>
    <w:rsid w:val="00B05034"/>
    <w:rsid w:val="00B05727"/>
    <w:rsid w:val="00B11F67"/>
    <w:rsid w:val="00B1250D"/>
    <w:rsid w:val="00B12942"/>
    <w:rsid w:val="00B14822"/>
    <w:rsid w:val="00B14FFD"/>
    <w:rsid w:val="00B15162"/>
    <w:rsid w:val="00B16667"/>
    <w:rsid w:val="00B172DE"/>
    <w:rsid w:val="00B21D70"/>
    <w:rsid w:val="00B2211A"/>
    <w:rsid w:val="00B2368D"/>
    <w:rsid w:val="00B23BC1"/>
    <w:rsid w:val="00B24BB2"/>
    <w:rsid w:val="00B264C6"/>
    <w:rsid w:val="00B26CEB"/>
    <w:rsid w:val="00B3172C"/>
    <w:rsid w:val="00B336E7"/>
    <w:rsid w:val="00B33E37"/>
    <w:rsid w:val="00B33FEF"/>
    <w:rsid w:val="00B3488F"/>
    <w:rsid w:val="00B360C1"/>
    <w:rsid w:val="00B36F4A"/>
    <w:rsid w:val="00B40212"/>
    <w:rsid w:val="00B45B0C"/>
    <w:rsid w:val="00B45D6D"/>
    <w:rsid w:val="00B4650F"/>
    <w:rsid w:val="00B5255F"/>
    <w:rsid w:val="00B53346"/>
    <w:rsid w:val="00B548F8"/>
    <w:rsid w:val="00B55B58"/>
    <w:rsid w:val="00B55D90"/>
    <w:rsid w:val="00B567F8"/>
    <w:rsid w:val="00B57818"/>
    <w:rsid w:val="00B64B28"/>
    <w:rsid w:val="00B64CE3"/>
    <w:rsid w:val="00B727ED"/>
    <w:rsid w:val="00B75C4B"/>
    <w:rsid w:val="00B75F3B"/>
    <w:rsid w:val="00B76524"/>
    <w:rsid w:val="00B765F1"/>
    <w:rsid w:val="00B776A2"/>
    <w:rsid w:val="00B80CC8"/>
    <w:rsid w:val="00B849F1"/>
    <w:rsid w:val="00B87884"/>
    <w:rsid w:val="00B928EF"/>
    <w:rsid w:val="00B95212"/>
    <w:rsid w:val="00B9535A"/>
    <w:rsid w:val="00BA0284"/>
    <w:rsid w:val="00BA120E"/>
    <w:rsid w:val="00BA26A2"/>
    <w:rsid w:val="00BA3F8D"/>
    <w:rsid w:val="00BA414D"/>
    <w:rsid w:val="00BA4F5E"/>
    <w:rsid w:val="00BA5032"/>
    <w:rsid w:val="00BB0418"/>
    <w:rsid w:val="00BB0A90"/>
    <w:rsid w:val="00BB2418"/>
    <w:rsid w:val="00BB2776"/>
    <w:rsid w:val="00BB38FA"/>
    <w:rsid w:val="00BB6C36"/>
    <w:rsid w:val="00BB78A7"/>
    <w:rsid w:val="00BC05DA"/>
    <w:rsid w:val="00BC16EE"/>
    <w:rsid w:val="00BC461A"/>
    <w:rsid w:val="00BC4DA8"/>
    <w:rsid w:val="00BC5014"/>
    <w:rsid w:val="00BC58DF"/>
    <w:rsid w:val="00BC6907"/>
    <w:rsid w:val="00BD02D6"/>
    <w:rsid w:val="00BD0D55"/>
    <w:rsid w:val="00BD6F54"/>
    <w:rsid w:val="00BE16A2"/>
    <w:rsid w:val="00BE18E3"/>
    <w:rsid w:val="00BE2232"/>
    <w:rsid w:val="00BE4A21"/>
    <w:rsid w:val="00BE4B79"/>
    <w:rsid w:val="00BE59F2"/>
    <w:rsid w:val="00BE5D69"/>
    <w:rsid w:val="00BE7A5E"/>
    <w:rsid w:val="00BF11CC"/>
    <w:rsid w:val="00BF415E"/>
    <w:rsid w:val="00BF490F"/>
    <w:rsid w:val="00BF601F"/>
    <w:rsid w:val="00BF697B"/>
    <w:rsid w:val="00C00FFA"/>
    <w:rsid w:val="00C01E6E"/>
    <w:rsid w:val="00C03389"/>
    <w:rsid w:val="00C06219"/>
    <w:rsid w:val="00C10DC4"/>
    <w:rsid w:val="00C12B68"/>
    <w:rsid w:val="00C1407D"/>
    <w:rsid w:val="00C1438D"/>
    <w:rsid w:val="00C14EC2"/>
    <w:rsid w:val="00C160C2"/>
    <w:rsid w:val="00C22730"/>
    <w:rsid w:val="00C23330"/>
    <w:rsid w:val="00C239EC"/>
    <w:rsid w:val="00C24547"/>
    <w:rsid w:val="00C24CA0"/>
    <w:rsid w:val="00C26A53"/>
    <w:rsid w:val="00C275ED"/>
    <w:rsid w:val="00C27899"/>
    <w:rsid w:val="00C30DB6"/>
    <w:rsid w:val="00C3240C"/>
    <w:rsid w:val="00C351D1"/>
    <w:rsid w:val="00C35799"/>
    <w:rsid w:val="00C37BDB"/>
    <w:rsid w:val="00C37F85"/>
    <w:rsid w:val="00C40D03"/>
    <w:rsid w:val="00C41869"/>
    <w:rsid w:val="00C41F2C"/>
    <w:rsid w:val="00C42D6E"/>
    <w:rsid w:val="00C42E49"/>
    <w:rsid w:val="00C43F9A"/>
    <w:rsid w:val="00C44E13"/>
    <w:rsid w:val="00C4601D"/>
    <w:rsid w:val="00C46FBD"/>
    <w:rsid w:val="00C4720B"/>
    <w:rsid w:val="00C528BE"/>
    <w:rsid w:val="00C53260"/>
    <w:rsid w:val="00C54716"/>
    <w:rsid w:val="00C577BF"/>
    <w:rsid w:val="00C57A39"/>
    <w:rsid w:val="00C6028B"/>
    <w:rsid w:val="00C613DF"/>
    <w:rsid w:val="00C61E6D"/>
    <w:rsid w:val="00C62764"/>
    <w:rsid w:val="00C64C2D"/>
    <w:rsid w:val="00C659B0"/>
    <w:rsid w:val="00C65B07"/>
    <w:rsid w:val="00C65DEB"/>
    <w:rsid w:val="00C6661F"/>
    <w:rsid w:val="00C70F2B"/>
    <w:rsid w:val="00C72242"/>
    <w:rsid w:val="00C72486"/>
    <w:rsid w:val="00C7353A"/>
    <w:rsid w:val="00C73C5E"/>
    <w:rsid w:val="00C75086"/>
    <w:rsid w:val="00C75A4F"/>
    <w:rsid w:val="00C77DDD"/>
    <w:rsid w:val="00C81916"/>
    <w:rsid w:val="00C82AD0"/>
    <w:rsid w:val="00C832FD"/>
    <w:rsid w:val="00C834EA"/>
    <w:rsid w:val="00C8473A"/>
    <w:rsid w:val="00C90714"/>
    <w:rsid w:val="00C918B6"/>
    <w:rsid w:val="00C91D12"/>
    <w:rsid w:val="00C926F6"/>
    <w:rsid w:val="00C95340"/>
    <w:rsid w:val="00C96983"/>
    <w:rsid w:val="00CA11A3"/>
    <w:rsid w:val="00CA1AC8"/>
    <w:rsid w:val="00CA3586"/>
    <w:rsid w:val="00CA416A"/>
    <w:rsid w:val="00CA533E"/>
    <w:rsid w:val="00CA642E"/>
    <w:rsid w:val="00CA6C95"/>
    <w:rsid w:val="00CA79C0"/>
    <w:rsid w:val="00CB476C"/>
    <w:rsid w:val="00CB4C2C"/>
    <w:rsid w:val="00CB503E"/>
    <w:rsid w:val="00CB57D9"/>
    <w:rsid w:val="00CB694E"/>
    <w:rsid w:val="00CC0DB0"/>
    <w:rsid w:val="00CC1519"/>
    <w:rsid w:val="00CC4275"/>
    <w:rsid w:val="00CC4C33"/>
    <w:rsid w:val="00CC6A63"/>
    <w:rsid w:val="00CC729E"/>
    <w:rsid w:val="00CD0918"/>
    <w:rsid w:val="00CD1EAB"/>
    <w:rsid w:val="00CD27DC"/>
    <w:rsid w:val="00CD3D14"/>
    <w:rsid w:val="00CD3DBD"/>
    <w:rsid w:val="00CD445A"/>
    <w:rsid w:val="00CD44E7"/>
    <w:rsid w:val="00CD646B"/>
    <w:rsid w:val="00CD777E"/>
    <w:rsid w:val="00CE06A2"/>
    <w:rsid w:val="00CE0A8D"/>
    <w:rsid w:val="00CE1B7B"/>
    <w:rsid w:val="00CE396D"/>
    <w:rsid w:val="00CE5F49"/>
    <w:rsid w:val="00CE75AE"/>
    <w:rsid w:val="00CF4557"/>
    <w:rsid w:val="00CF4666"/>
    <w:rsid w:val="00CF5422"/>
    <w:rsid w:val="00CF7A18"/>
    <w:rsid w:val="00D05142"/>
    <w:rsid w:val="00D05A56"/>
    <w:rsid w:val="00D05D02"/>
    <w:rsid w:val="00D13546"/>
    <w:rsid w:val="00D14126"/>
    <w:rsid w:val="00D142EE"/>
    <w:rsid w:val="00D16B60"/>
    <w:rsid w:val="00D21211"/>
    <w:rsid w:val="00D214F8"/>
    <w:rsid w:val="00D23111"/>
    <w:rsid w:val="00D2372A"/>
    <w:rsid w:val="00D241E4"/>
    <w:rsid w:val="00D26110"/>
    <w:rsid w:val="00D2623C"/>
    <w:rsid w:val="00D26B0E"/>
    <w:rsid w:val="00D323C0"/>
    <w:rsid w:val="00D33E49"/>
    <w:rsid w:val="00D376D3"/>
    <w:rsid w:val="00D40078"/>
    <w:rsid w:val="00D422A7"/>
    <w:rsid w:val="00D516A8"/>
    <w:rsid w:val="00D52EAB"/>
    <w:rsid w:val="00D53362"/>
    <w:rsid w:val="00D53B3E"/>
    <w:rsid w:val="00D55E74"/>
    <w:rsid w:val="00D564A0"/>
    <w:rsid w:val="00D56B16"/>
    <w:rsid w:val="00D57EA9"/>
    <w:rsid w:val="00D60345"/>
    <w:rsid w:val="00D614E2"/>
    <w:rsid w:val="00D61700"/>
    <w:rsid w:val="00D61D11"/>
    <w:rsid w:val="00D62174"/>
    <w:rsid w:val="00D658C8"/>
    <w:rsid w:val="00D67D74"/>
    <w:rsid w:val="00D728E6"/>
    <w:rsid w:val="00D733DA"/>
    <w:rsid w:val="00D7373F"/>
    <w:rsid w:val="00D73E29"/>
    <w:rsid w:val="00D73F26"/>
    <w:rsid w:val="00D76921"/>
    <w:rsid w:val="00D80E16"/>
    <w:rsid w:val="00D80E1E"/>
    <w:rsid w:val="00D8114C"/>
    <w:rsid w:val="00D81339"/>
    <w:rsid w:val="00D81A88"/>
    <w:rsid w:val="00D81C71"/>
    <w:rsid w:val="00D82809"/>
    <w:rsid w:val="00D83376"/>
    <w:rsid w:val="00D845DC"/>
    <w:rsid w:val="00D869E7"/>
    <w:rsid w:val="00D87148"/>
    <w:rsid w:val="00D87903"/>
    <w:rsid w:val="00D90653"/>
    <w:rsid w:val="00D91B21"/>
    <w:rsid w:val="00D929DA"/>
    <w:rsid w:val="00D93578"/>
    <w:rsid w:val="00D94C35"/>
    <w:rsid w:val="00D9510E"/>
    <w:rsid w:val="00D96C4B"/>
    <w:rsid w:val="00DA080E"/>
    <w:rsid w:val="00DA1297"/>
    <w:rsid w:val="00DA1347"/>
    <w:rsid w:val="00DA635D"/>
    <w:rsid w:val="00DA6E15"/>
    <w:rsid w:val="00DA7D64"/>
    <w:rsid w:val="00DB1E1B"/>
    <w:rsid w:val="00DB426F"/>
    <w:rsid w:val="00DB48DA"/>
    <w:rsid w:val="00DB4CA7"/>
    <w:rsid w:val="00DB5450"/>
    <w:rsid w:val="00DB5AA2"/>
    <w:rsid w:val="00DC0F6E"/>
    <w:rsid w:val="00DC1086"/>
    <w:rsid w:val="00DC274F"/>
    <w:rsid w:val="00DC49F9"/>
    <w:rsid w:val="00DC70FC"/>
    <w:rsid w:val="00DD31EB"/>
    <w:rsid w:val="00DD4E1A"/>
    <w:rsid w:val="00DD4F97"/>
    <w:rsid w:val="00DD5BC3"/>
    <w:rsid w:val="00DD7B4F"/>
    <w:rsid w:val="00DE1A86"/>
    <w:rsid w:val="00DE330E"/>
    <w:rsid w:val="00DE33B7"/>
    <w:rsid w:val="00DE3CB5"/>
    <w:rsid w:val="00DE63AF"/>
    <w:rsid w:val="00DF157E"/>
    <w:rsid w:val="00DF1750"/>
    <w:rsid w:val="00DF2417"/>
    <w:rsid w:val="00DF7722"/>
    <w:rsid w:val="00DF7AA7"/>
    <w:rsid w:val="00E0185F"/>
    <w:rsid w:val="00E021EA"/>
    <w:rsid w:val="00E033D6"/>
    <w:rsid w:val="00E03626"/>
    <w:rsid w:val="00E040E2"/>
    <w:rsid w:val="00E05159"/>
    <w:rsid w:val="00E06439"/>
    <w:rsid w:val="00E0664A"/>
    <w:rsid w:val="00E07177"/>
    <w:rsid w:val="00E112EF"/>
    <w:rsid w:val="00E17E15"/>
    <w:rsid w:val="00E21E08"/>
    <w:rsid w:val="00E22EBA"/>
    <w:rsid w:val="00E240DE"/>
    <w:rsid w:val="00E261BA"/>
    <w:rsid w:val="00E314CE"/>
    <w:rsid w:val="00E315AA"/>
    <w:rsid w:val="00E32A0E"/>
    <w:rsid w:val="00E3308D"/>
    <w:rsid w:val="00E352D1"/>
    <w:rsid w:val="00E35B4D"/>
    <w:rsid w:val="00E35EB8"/>
    <w:rsid w:val="00E36206"/>
    <w:rsid w:val="00E36DF7"/>
    <w:rsid w:val="00E42933"/>
    <w:rsid w:val="00E4398D"/>
    <w:rsid w:val="00E45254"/>
    <w:rsid w:val="00E455D2"/>
    <w:rsid w:val="00E471EB"/>
    <w:rsid w:val="00E5221A"/>
    <w:rsid w:val="00E52308"/>
    <w:rsid w:val="00E528DD"/>
    <w:rsid w:val="00E52B52"/>
    <w:rsid w:val="00E53C87"/>
    <w:rsid w:val="00E55EC5"/>
    <w:rsid w:val="00E61569"/>
    <w:rsid w:val="00E6410E"/>
    <w:rsid w:val="00E665B9"/>
    <w:rsid w:val="00E70823"/>
    <w:rsid w:val="00E71FB2"/>
    <w:rsid w:val="00E72A4B"/>
    <w:rsid w:val="00E7345C"/>
    <w:rsid w:val="00E73596"/>
    <w:rsid w:val="00E73E9F"/>
    <w:rsid w:val="00E75038"/>
    <w:rsid w:val="00E757C7"/>
    <w:rsid w:val="00E77D0C"/>
    <w:rsid w:val="00E81C4E"/>
    <w:rsid w:val="00E82ED6"/>
    <w:rsid w:val="00E83AB3"/>
    <w:rsid w:val="00E843BF"/>
    <w:rsid w:val="00E86AFA"/>
    <w:rsid w:val="00E87181"/>
    <w:rsid w:val="00E87BC4"/>
    <w:rsid w:val="00E90A75"/>
    <w:rsid w:val="00E911EC"/>
    <w:rsid w:val="00E93858"/>
    <w:rsid w:val="00E94EE1"/>
    <w:rsid w:val="00EA1148"/>
    <w:rsid w:val="00EA2660"/>
    <w:rsid w:val="00EA274B"/>
    <w:rsid w:val="00EA3C94"/>
    <w:rsid w:val="00EA6B3D"/>
    <w:rsid w:val="00EA70BD"/>
    <w:rsid w:val="00EB313F"/>
    <w:rsid w:val="00EB63E9"/>
    <w:rsid w:val="00EB6F25"/>
    <w:rsid w:val="00EC1310"/>
    <w:rsid w:val="00EC1FB4"/>
    <w:rsid w:val="00EC2932"/>
    <w:rsid w:val="00EC419C"/>
    <w:rsid w:val="00EC4982"/>
    <w:rsid w:val="00EC4D72"/>
    <w:rsid w:val="00EC5F3E"/>
    <w:rsid w:val="00EC5F6C"/>
    <w:rsid w:val="00EC6EEF"/>
    <w:rsid w:val="00ED0575"/>
    <w:rsid w:val="00ED0647"/>
    <w:rsid w:val="00ED163D"/>
    <w:rsid w:val="00ED19E5"/>
    <w:rsid w:val="00ED2A72"/>
    <w:rsid w:val="00ED374A"/>
    <w:rsid w:val="00ED40CA"/>
    <w:rsid w:val="00ED4628"/>
    <w:rsid w:val="00ED514E"/>
    <w:rsid w:val="00EE0972"/>
    <w:rsid w:val="00EE1179"/>
    <w:rsid w:val="00EE127A"/>
    <w:rsid w:val="00EE2117"/>
    <w:rsid w:val="00EE2F8B"/>
    <w:rsid w:val="00EE3E54"/>
    <w:rsid w:val="00EE3FF5"/>
    <w:rsid w:val="00EE4E37"/>
    <w:rsid w:val="00EE5A1A"/>
    <w:rsid w:val="00EE64F0"/>
    <w:rsid w:val="00EE66B9"/>
    <w:rsid w:val="00EE6A3D"/>
    <w:rsid w:val="00EE78C0"/>
    <w:rsid w:val="00EF118E"/>
    <w:rsid w:val="00EF11B1"/>
    <w:rsid w:val="00EF26C3"/>
    <w:rsid w:val="00EF3EBE"/>
    <w:rsid w:val="00EF40D6"/>
    <w:rsid w:val="00EF4F0F"/>
    <w:rsid w:val="00EF4F72"/>
    <w:rsid w:val="00EF55B5"/>
    <w:rsid w:val="00EF6FF3"/>
    <w:rsid w:val="00EF7E9B"/>
    <w:rsid w:val="00F005D7"/>
    <w:rsid w:val="00F00647"/>
    <w:rsid w:val="00F07D8D"/>
    <w:rsid w:val="00F10FDF"/>
    <w:rsid w:val="00F11125"/>
    <w:rsid w:val="00F1364F"/>
    <w:rsid w:val="00F16269"/>
    <w:rsid w:val="00F16C7A"/>
    <w:rsid w:val="00F20871"/>
    <w:rsid w:val="00F20E0E"/>
    <w:rsid w:val="00F23E6E"/>
    <w:rsid w:val="00F256F1"/>
    <w:rsid w:val="00F31381"/>
    <w:rsid w:val="00F3484D"/>
    <w:rsid w:val="00F34C54"/>
    <w:rsid w:val="00F356C5"/>
    <w:rsid w:val="00F35B49"/>
    <w:rsid w:val="00F36D4C"/>
    <w:rsid w:val="00F3742E"/>
    <w:rsid w:val="00F37AD4"/>
    <w:rsid w:val="00F37B7E"/>
    <w:rsid w:val="00F40593"/>
    <w:rsid w:val="00F41F87"/>
    <w:rsid w:val="00F442A5"/>
    <w:rsid w:val="00F44D1E"/>
    <w:rsid w:val="00F468B7"/>
    <w:rsid w:val="00F469B6"/>
    <w:rsid w:val="00F51CA1"/>
    <w:rsid w:val="00F51EF8"/>
    <w:rsid w:val="00F522E7"/>
    <w:rsid w:val="00F52E29"/>
    <w:rsid w:val="00F5345D"/>
    <w:rsid w:val="00F555CD"/>
    <w:rsid w:val="00F55DBA"/>
    <w:rsid w:val="00F563AA"/>
    <w:rsid w:val="00F600C0"/>
    <w:rsid w:val="00F607A1"/>
    <w:rsid w:val="00F60C85"/>
    <w:rsid w:val="00F6274D"/>
    <w:rsid w:val="00F65B72"/>
    <w:rsid w:val="00F66015"/>
    <w:rsid w:val="00F67A68"/>
    <w:rsid w:val="00F71078"/>
    <w:rsid w:val="00F7192F"/>
    <w:rsid w:val="00F75D71"/>
    <w:rsid w:val="00F7621F"/>
    <w:rsid w:val="00F77410"/>
    <w:rsid w:val="00F80A79"/>
    <w:rsid w:val="00F8217C"/>
    <w:rsid w:val="00F832AA"/>
    <w:rsid w:val="00F853D9"/>
    <w:rsid w:val="00F87296"/>
    <w:rsid w:val="00F925C5"/>
    <w:rsid w:val="00F94B10"/>
    <w:rsid w:val="00F94CFA"/>
    <w:rsid w:val="00F94D70"/>
    <w:rsid w:val="00F956F6"/>
    <w:rsid w:val="00F95B4E"/>
    <w:rsid w:val="00F971BB"/>
    <w:rsid w:val="00F97E55"/>
    <w:rsid w:val="00FA1702"/>
    <w:rsid w:val="00FA234B"/>
    <w:rsid w:val="00FA5BDD"/>
    <w:rsid w:val="00FB10E1"/>
    <w:rsid w:val="00FB3C40"/>
    <w:rsid w:val="00FB4268"/>
    <w:rsid w:val="00FB43A4"/>
    <w:rsid w:val="00FB47C4"/>
    <w:rsid w:val="00FB6F8A"/>
    <w:rsid w:val="00FB73F2"/>
    <w:rsid w:val="00FB7BFD"/>
    <w:rsid w:val="00FC074F"/>
    <w:rsid w:val="00FC0FE5"/>
    <w:rsid w:val="00FC6F15"/>
    <w:rsid w:val="00FC75E1"/>
    <w:rsid w:val="00FD0C47"/>
    <w:rsid w:val="00FD0EF4"/>
    <w:rsid w:val="00FD3880"/>
    <w:rsid w:val="00FD62DF"/>
    <w:rsid w:val="00FD666E"/>
    <w:rsid w:val="00FE3537"/>
    <w:rsid w:val="00FE3A75"/>
    <w:rsid w:val="00FE3CD7"/>
    <w:rsid w:val="00FE4806"/>
    <w:rsid w:val="00FE55A0"/>
    <w:rsid w:val="00FE6213"/>
    <w:rsid w:val="00FF0CB6"/>
    <w:rsid w:val="00FF18C3"/>
    <w:rsid w:val="00FF20B5"/>
    <w:rsid w:val="00FF3970"/>
    <w:rsid w:val="00FF3B18"/>
    <w:rsid w:val="00FF5303"/>
    <w:rsid w:val="00FF5533"/>
    <w:rsid w:val="00FF60A3"/>
    <w:rsid w:val="00FF6337"/>
    <w:rsid w:val="00FF6972"/>
    <w:rsid w:val="00FF7E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FCF15"/>
  <w15:docId w15:val="{73AA3D08-1DB8-4FD3-AB22-89781842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99B"/>
  </w:style>
  <w:style w:type="paragraph" w:styleId="Heading1">
    <w:name w:val="heading 1"/>
    <w:basedOn w:val="Normal"/>
    <w:next w:val="Normal"/>
    <w:link w:val="Heading1Char"/>
    <w:uiPriority w:val="9"/>
    <w:qFormat/>
    <w:rsid w:val="001F5D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BB9"/>
    <w:rPr>
      <w:color w:val="0000FF" w:themeColor="hyperlink"/>
      <w:u w:val="single"/>
    </w:rPr>
  </w:style>
  <w:style w:type="paragraph" w:styleId="Header">
    <w:name w:val="header"/>
    <w:basedOn w:val="Normal"/>
    <w:link w:val="HeaderChar"/>
    <w:uiPriority w:val="99"/>
    <w:unhideWhenUsed/>
    <w:rsid w:val="00472D4A"/>
    <w:pPr>
      <w:tabs>
        <w:tab w:val="center" w:pos="4252"/>
        <w:tab w:val="right" w:pos="8504"/>
      </w:tabs>
      <w:spacing w:after="0" w:line="240" w:lineRule="auto"/>
    </w:pPr>
  </w:style>
  <w:style w:type="character" w:customStyle="1" w:styleId="HeaderChar">
    <w:name w:val="Header Char"/>
    <w:basedOn w:val="DefaultParagraphFont"/>
    <w:link w:val="Header"/>
    <w:uiPriority w:val="99"/>
    <w:rsid w:val="00472D4A"/>
  </w:style>
  <w:style w:type="paragraph" w:styleId="Footer">
    <w:name w:val="footer"/>
    <w:basedOn w:val="Normal"/>
    <w:link w:val="FooterChar"/>
    <w:uiPriority w:val="99"/>
    <w:unhideWhenUsed/>
    <w:rsid w:val="00472D4A"/>
    <w:pPr>
      <w:tabs>
        <w:tab w:val="center" w:pos="4252"/>
        <w:tab w:val="right" w:pos="8504"/>
      </w:tabs>
      <w:spacing w:after="0" w:line="240" w:lineRule="auto"/>
    </w:pPr>
  </w:style>
  <w:style w:type="character" w:customStyle="1" w:styleId="FooterChar">
    <w:name w:val="Footer Char"/>
    <w:basedOn w:val="DefaultParagraphFont"/>
    <w:link w:val="Footer"/>
    <w:uiPriority w:val="99"/>
    <w:rsid w:val="00472D4A"/>
  </w:style>
  <w:style w:type="paragraph" w:styleId="ListParagraph">
    <w:name w:val="List Paragraph"/>
    <w:basedOn w:val="Normal"/>
    <w:uiPriority w:val="34"/>
    <w:qFormat/>
    <w:rsid w:val="006B6B1A"/>
    <w:pPr>
      <w:ind w:left="720"/>
      <w:contextualSpacing/>
    </w:pPr>
  </w:style>
  <w:style w:type="character" w:customStyle="1" w:styleId="cite-bracket">
    <w:name w:val="cite-bracket"/>
    <w:basedOn w:val="DefaultParagraphFont"/>
    <w:rsid w:val="00EF3EBE"/>
  </w:style>
  <w:style w:type="paragraph" w:styleId="NormalWeb">
    <w:name w:val="Normal (Web)"/>
    <w:basedOn w:val="Normal"/>
    <w:uiPriority w:val="99"/>
    <w:unhideWhenUsed/>
    <w:rsid w:val="0057112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57112D"/>
    <w:rPr>
      <w:b/>
      <w:bCs/>
    </w:rPr>
  </w:style>
  <w:style w:type="character" w:customStyle="1" w:styleId="Heading1Char">
    <w:name w:val="Heading 1 Char"/>
    <w:basedOn w:val="DefaultParagraphFont"/>
    <w:link w:val="Heading1"/>
    <w:uiPriority w:val="9"/>
    <w:rsid w:val="001F5D6C"/>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DefaultParagraphFont"/>
    <w:uiPriority w:val="99"/>
    <w:semiHidden/>
    <w:unhideWhenUsed/>
    <w:rsid w:val="00B55D90"/>
    <w:rPr>
      <w:color w:val="605E5C"/>
      <w:shd w:val="clear" w:color="auto" w:fill="E1DFDD"/>
    </w:rPr>
  </w:style>
  <w:style w:type="table" w:styleId="TableGrid">
    <w:name w:val="Table Grid"/>
    <w:basedOn w:val="TableNormal"/>
    <w:uiPriority w:val="39"/>
    <w:rsid w:val="00F468B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0430">
      <w:bodyDiv w:val="1"/>
      <w:marLeft w:val="0"/>
      <w:marRight w:val="0"/>
      <w:marTop w:val="0"/>
      <w:marBottom w:val="0"/>
      <w:divBdr>
        <w:top w:val="none" w:sz="0" w:space="0" w:color="auto"/>
        <w:left w:val="none" w:sz="0" w:space="0" w:color="auto"/>
        <w:bottom w:val="none" w:sz="0" w:space="0" w:color="auto"/>
        <w:right w:val="none" w:sz="0" w:space="0" w:color="auto"/>
      </w:divBdr>
      <w:divsChild>
        <w:div w:id="1722944506">
          <w:marLeft w:val="0"/>
          <w:marRight w:val="0"/>
          <w:marTop w:val="0"/>
          <w:marBottom w:val="0"/>
          <w:divBdr>
            <w:top w:val="none" w:sz="0" w:space="0" w:color="auto"/>
            <w:left w:val="none" w:sz="0" w:space="0" w:color="auto"/>
            <w:bottom w:val="none" w:sz="0" w:space="0" w:color="auto"/>
            <w:right w:val="none" w:sz="0" w:space="0" w:color="auto"/>
          </w:divBdr>
          <w:divsChild>
            <w:div w:id="936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4887">
      <w:bodyDiv w:val="1"/>
      <w:marLeft w:val="0"/>
      <w:marRight w:val="0"/>
      <w:marTop w:val="0"/>
      <w:marBottom w:val="0"/>
      <w:divBdr>
        <w:top w:val="none" w:sz="0" w:space="0" w:color="auto"/>
        <w:left w:val="none" w:sz="0" w:space="0" w:color="auto"/>
        <w:bottom w:val="none" w:sz="0" w:space="0" w:color="auto"/>
        <w:right w:val="none" w:sz="0" w:space="0" w:color="auto"/>
      </w:divBdr>
      <w:divsChild>
        <w:div w:id="1724598257">
          <w:marLeft w:val="0"/>
          <w:marRight w:val="0"/>
          <w:marTop w:val="0"/>
          <w:marBottom w:val="0"/>
          <w:divBdr>
            <w:top w:val="none" w:sz="0" w:space="0" w:color="auto"/>
            <w:left w:val="none" w:sz="0" w:space="0" w:color="auto"/>
            <w:bottom w:val="none" w:sz="0" w:space="0" w:color="auto"/>
            <w:right w:val="none" w:sz="0" w:space="0" w:color="auto"/>
          </w:divBdr>
          <w:divsChild>
            <w:div w:id="10795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6367">
      <w:bodyDiv w:val="1"/>
      <w:marLeft w:val="0"/>
      <w:marRight w:val="0"/>
      <w:marTop w:val="0"/>
      <w:marBottom w:val="0"/>
      <w:divBdr>
        <w:top w:val="none" w:sz="0" w:space="0" w:color="auto"/>
        <w:left w:val="none" w:sz="0" w:space="0" w:color="auto"/>
        <w:bottom w:val="none" w:sz="0" w:space="0" w:color="auto"/>
        <w:right w:val="none" w:sz="0" w:space="0" w:color="auto"/>
      </w:divBdr>
      <w:divsChild>
        <w:div w:id="807669104">
          <w:marLeft w:val="0"/>
          <w:marRight w:val="0"/>
          <w:marTop w:val="0"/>
          <w:marBottom w:val="0"/>
          <w:divBdr>
            <w:top w:val="none" w:sz="0" w:space="0" w:color="auto"/>
            <w:left w:val="none" w:sz="0" w:space="0" w:color="auto"/>
            <w:bottom w:val="none" w:sz="0" w:space="0" w:color="auto"/>
            <w:right w:val="none" w:sz="0" w:space="0" w:color="auto"/>
          </w:divBdr>
        </w:div>
      </w:divsChild>
    </w:div>
    <w:div w:id="366831821">
      <w:bodyDiv w:val="1"/>
      <w:marLeft w:val="0"/>
      <w:marRight w:val="0"/>
      <w:marTop w:val="0"/>
      <w:marBottom w:val="0"/>
      <w:divBdr>
        <w:top w:val="none" w:sz="0" w:space="0" w:color="auto"/>
        <w:left w:val="none" w:sz="0" w:space="0" w:color="auto"/>
        <w:bottom w:val="none" w:sz="0" w:space="0" w:color="auto"/>
        <w:right w:val="none" w:sz="0" w:space="0" w:color="auto"/>
      </w:divBdr>
      <w:divsChild>
        <w:div w:id="1415937690">
          <w:marLeft w:val="0"/>
          <w:marRight w:val="0"/>
          <w:marTop w:val="0"/>
          <w:marBottom w:val="0"/>
          <w:divBdr>
            <w:top w:val="none" w:sz="0" w:space="0" w:color="auto"/>
            <w:left w:val="none" w:sz="0" w:space="0" w:color="auto"/>
            <w:bottom w:val="none" w:sz="0" w:space="0" w:color="auto"/>
            <w:right w:val="none" w:sz="0" w:space="0" w:color="auto"/>
          </w:divBdr>
          <w:divsChild>
            <w:div w:id="1997761362">
              <w:marLeft w:val="0"/>
              <w:marRight w:val="0"/>
              <w:marTop w:val="0"/>
              <w:marBottom w:val="0"/>
              <w:divBdr>
                <w:top w:val="none" w:sz="0" w:space="0" w:color="auto"/>
                <w:left w:val="none" w:sz="0" w:space="0" w:color="auto"/>
                <w:bottom w:val="none" w:sz="0" w:space="0" w:color="auto"/>
                <w:right w:val="none" w:sz="0" w:space="0" w:color="auto"/>
              </w:divBdr>
              <w:divsChild>
                <w:div w:id="430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5315">
      <w:bodyDiv w:val="1"/>
      <w:marLeft w:val="0"/>
      <w:marRight w:val="0"/>
      <w:marTop w:val="0"/>
      <w:marBottom w:val="0"/>
      <w:divBdr>
        <w:top w:val="none" w:sz="0" w:space="0" w:color="auto"/>
        <w:left w:val="none" w:sz="0" w:space="0" w:color="auto"/>
        <w:bottom w:val="none" w:sz="0" w:space="0" w:color="auto"/>
        <w:right w:val="none" w:sz="0" w:space="0" w:color="auto"/>
      </w:divBdr>
      <w:divsChild>
        <w:div w:id="1777409330">
          <w:marLeft w:val="0"/>
          <w:marRight w:val="0"/>
          <w:marTop w:val="0"/>
          <w:marBottom w:val="0"/>
          <w:divBdr>
            <w:top w:val="none" w:sz="0" w:space="0" w:color="auto"/>
            <w:left w:val="none" w:sz="0" w:space="0" w:color="auto"/>
            <w:bottom w:val="none" w:sz="0" w:space="0" w:color="auto"/>
            <w:right w:val="none" w:sz="0" w:space="0" w:color="auto"/>
          </w:divBdr>
        </w:div>
      </w:divsChild>
    </w:div>
    <w:div w:id="699936641">
      <w:bodyDiv w:val="1"/>
      <w:marLeft w:val="0"/>
      <w:marRight w:val="0"/>
      <w:marTop w:val="0"/>
      <w:marBottom w:val="0"/>
      <w:divBdr>
        <w:top w:val="none" w:sz="0" w:space="0" w:color="auto"/>
        <w:left w:val="none" w:sz="0" w:space="0" w:color="auto"/>
        <w:bottom w:val="none" w:sz="0" w:space="0" w:color="auto"/>
        <w:right w:val="none" w:sz="0" w:space="0" w:color="auto"/>
      </w:divBdr>
      <w:divsChild>
        <w:div w:id="1992908674">
          <w:marLeft w:val="0"/>
          <w:marRight w:val="0"/>
          <w:marTop w:val="0"/>
          <w:marBottom w:val="0"/>
          <w:divBdr>
            <w:top w:val="none" w:sz="0" w:space="0" w:color="auto"/>
            <w:left w:val="none" w:sz="0" w:space="0" w:color="auto"/>
            <w:bottom w:val="none" w:sz="0" w:space="0" w:color="auto"/>
            <w:right w:val="none" w:sz="0" w:space="0" w:color="auto"/>
          </w:divBdr>
        </w:div>
      </w:divsChild>
    </w:div>
    <w:div w:id="937516871">
      <w:bodyDiv w:val="1"/>
      <w:marLeft w:val="0"/>
      <w:marRight w:val="0"/>
      <w:marTop w:val="0"/>
      <w:marBottom w:val="0"/>
      <w:divBdr>
        <w:top w:val="none" w:sz="0" w:space="0" w:color="auto"/>
        <w:left w:val="none" w:sz="0" w:space="0" w:color="auto"/>
        <w:bottom w:val="none" w:sz="0" w:space="0" w:color="auto"/>
        <w:right w:val="none" w:sz="0" w:space="0" w:color="auto"/>
      </w:divBdr>
      <w:divsChild>
        <w:div w:id="402338657">
          <w:marLeft w:val="0"/>
          <w:marRight w:val="0"/>
          <w:marTop w:val="0"/>
          <w:marBottom w:val="0"/>
          <w:divBdr>
            <w:top w:val="none" w:sz="0" w:space="0" w:color="auto"/>
            <w:left w:val="none" w:sz="0" w:space="0" w:color="auto"/>
            <w:bottom w:val="none" w:sz="0" w:space="0" w:color="auto"/>
            <w:right w:val="none" w:sz="0" w:space="0" w:color="auto"/>
          </w:divBdr>
          <w:divsChild>
            <w:div w:id="494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8260">
      <w:bodyDiv w:val="1"/>
      <w:marLeft w:val="0"/>
      <w:marRight w:val="0"/>
      <w:marTop w:val="0"/>
      <w:marBottom w:val="0"/>
      <w:divBdr>
        <w:top w:val="none" w:sz="0" w:space="0" w:color="auto"/>
        <w:left w:val="none" w:sz="0" w:space="0" w:color="auto"/>
        <w:bottom w:val="none" w:sz="0" w:space="0" w:color="auto"/>
        <w:right w:val="none" w:sz="0" w:space="0" w:color="auto"/>
      </w:divBdr>
    </w:div>
    <w:div w:id="1127158895">
      <w:bodyDiv w:val="1"/>
      <w:marLeft w:val="0"/>
      <w:marRight w:val="0"/>
      <w:marTop w:val="0"/>
      <w:marBottom w:val="0"/>
      <w:divBdr>
        <w:top w:val="none" w:sz="0" w:space="0" w:color="auto"/>
        <w:left w:val="none" w:sz="0" w:space="0" w:color="auto"/>
        <w:bottom w:val="none" w:sz="0" w:space="0" w:color="auto"/>
        <w:right w:val="none" w:sz="0" w:space="0" w:color="auto"/>
      </w:divBdr>
      <w:divsChild>
        <w:div w:id="1515655673">
          <w:marLeft w:val="0"/>
          <w:marRight w:val="0"/>
          <w:marTop w:val="0"/>
          <w:marBottom w:val="0"/>
          <w:divBdr>
            <w:top w:val="none" w:sz="0" w:space="0" w:color="auto"/>
            <w:left w:val="none" w:sz="0" w:space="0" w:color="auto"/>
            <w:bottom w:val="none" w:sz="0" w:space="0" w:color="auto"/>
            <w:right w:val="none" w:sz="0" w:space="0" w:color="auto"/>
          </w:divBdr>
          <w:divsChild>
            <w:div w:id="1394543402">
              <w:marLeft w:val="0"/>
              <w:marRight w:val="0"/>
              <w:marTop w:val="0"/>
              <w:marBottom w:val="0"/>
              <w:divBdr>
                <w:top w:val="none" w:sz="0" w:space="0" w:color="auto"/>
                <w:left w:val="none" w:sz="0" w:space="0" w:color="auto"/>
                <w:bottom w:val="none" w:sz="0" w:space="0" w:color="auto"/>
                <w:right w:val="none" w:sz="0" w:space="0" w:color="auto"/>
              </w:divBdr>
              <w:divsChild>
                <w:div w:id="72289553">
                  <w:marLeft w:val="0"/>
                  <w:marRight w:val="0"/>
                  <w:marTop w:val="0"/>
                  <w:marBottom w:val="0"/>
                  <w:divBdr>
                    <w:top w:val="none" w:sz="0" w:space="0" w:color="auto"/>
                    <w:left w:val="none" w:sz="0" w:space="0" w:color="auto"/>
                    <w:bottom w:val="none" w:sz="0" w:space="0" w:color="auto"/>
                    <w:right w:val="none" w:sz="0" w:space="0" w:color="auto"/>
                  </w:divBdr>
                  <w:divsChild>
                    <w:div w:id="18269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4067">
          <w:marLeft w:val="0"/>
          <w:marRight w:val="0"/>
          <w:marTop w:val="0"/>
          <w:marBottom w:val="0"/>
          <w:divBdr>
            <w:top w:val="none" w:sz="0" w:space="0" w:color="auto"/>
            <w:left w:val="none" w:sz="0" w:space="0" w:color="auto"/>
            <w:bottom w:val="none" w:sz="0" w:space="0" w:color="auto"/>
            <w:right w:val="none" w:sz="0" w:space="0" w:color="auto"/>
          </w:divBdr>
          <w:divsChild>
            <w:div w:id="1126434421">
              <w:marLeft w:val="0"/>
              <w:marRight w:val="0"/>
              <w:marTop w:val="0"/>
              <w:marBottom w:val="0"/>
              <w:divBdr>
                <w:top w:val="none" w:sz="0" w:space="0" w:color="auto"/>
                <w:left w:val="none" w:sz="0" w:space="0" w:color="auto"/>
                <w:bottom w:val="none" w:sz="0" w:space="0" w:color="auto"/>
                <w:right w:val="none" w:sz="0" w:space="0" w:color="auto"/>
              </w:divBdr>
              <w:divsChild>
                <w:div w:id="21010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1849">
          <w:marLeft w:val="0"/>
          <w:marRight w:val="0"/>
          <w:marTop w:val="0"/>
          <w:marBottom w:val="0"/>
          <w:divBdr>
            <w:top w:val="none" w:sz="0" w:space="0" w:color="auto"/>
            <w:left w:val="none" w:sz="0" w:space="0" w:color="auto"/>
            <w:bottom w:val="none" w:sz="0" w:space="0" w:color="auto"/>
            <w:right w:val="none" w:sz="0" w:space="0" w:color="auto"/>
          </w:divBdr>
        </w:div>
      </w:divsChild>
    </w:div>
    <w:div w:id="1181552720">
      <w:bodyDiv w:val="1"/>
      <w:marLeft w:val="0"/>
      <w:marRight w:val="0"/>
      <w:marTop w:val="0"/>
      <w:marBottom w:val="0"/>
      <w:divBdr>
        <w:top w:val="none" w:sz="0" w:space="0" w:color="auto"/>
        <w:left w:val="none" w:sz="0" w:space="0" w:color="auto"/>
        <w:bottom w:val="none" w:sz="0" w:space="0" w:color="auto"/>
        <w:right w:val="none" w:sz="0" w:space="0" w:color="auto"/>
      </w:divBdr>
      <w:divsChild>
        <w:div w:id="1386102657">
          <w:marLeft w:val="0"/>
          <w:marRight w:val="0"/>
          <w:marTop w:val="0"/>
          <w:marBottom w:val="0"/>
          <w:divBdr>
            <w:top w:val="none" w:sz="0" w:space="0" w:color="auto"/>
            <w:left w:val="none" w:sz="0" w:space="0" w:color="auto"/>
            <w:bottom w:val="none" w:sz="0" w:space="0" w:color="auto"/>
            <w:right w:val="none" w:sz="0" w:space="0" w:color="auto"/>
          </w:divBdr>
          <w:divsChild>
            <w:div w:id="3701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4532">
      <w:bodyDiv w:val="1"/>
      <w:marLeft w:val="0"/>
      <w:marRight w:val="0"/>
      <w:marTop w:val="0"/>
      <w:marBottom w:val="0"/>
      <w:divBdr>
        <w:top w:val="none" w:sz="0" w:space="0" w:color="auto"/>
        <w:left w:val="none" w:sz="0" w:space="0" w:color="auto"/>
        <w:bottom w:val="none" w:sz="0" w:space="0" w:color="auto"/>
        <w:right w:val="none" w:sz="0" w:space="0" w:color="auto"/>
      </w:divBdr>
      <w:divsChild>
        <w:div w:id="1883328360">
          <w:marLeft w:val="0"/>
          <w:marRight w:val="0"/>
          <w:marTop w:val="0"/>
          <w:marBottom w:val="0"/>
          <w:divBdr>
            <w:top w:val="none" w:sz="0" w:space="0" w:color="auto"/>
            <w:left w:val="none" w:sz="0" w:space="0" w:color="auto"/>
            <w:bottom w:val="none" w:sz="0" w:space="0" w:color="auto"/>
            <w:right w:val="none" w:sz="0" w:space="0" w:color="auto"/>
          </w:divBdr>
          <w:divsChild>
            <w:div w:id="2071725973">
              <w:marLeft w:val="0"/>
              <w:marRight w:val="0"/>
              <w:marTop w:val="0"/>
              <w:marBottom w:val="0"/>
              <w:divBdr>
                <w:top w:val="none" w:sz="0" w:space="0" w:color="auto"/>
                <w:left w:val="none" w:sz="0" w:space="0" w:color="auto"/>
                <w:bottom w:val="none" w:sz="0" w:space="0" w:color="auto"/>
                <w:right w:val="none" w:sz="0" w:space="0" w:color="auto"/>
              </w:divBdr>
              <w:divsChild>
                <w:div w:id="11646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5584">
      <w:bodyDiv w:val="1"/>
      <w:marLeft w:val="0"/>
      <w:marRight w:val="0"/>
      <w:marTop w:val="0"/>
      <w:marBottom w:val="0"/>
      <w:divBdr>
        <w:top w:val="none" w:sz="0" w:space="0" w:color="auto"/>
        <w:left w:val="none" w:sz="0" w:space="0" w:color="auto"/>
        <w:bottom w:val="none" w:sz="0" w:space="0" w:color="auto"/>
        <w:right w:val="none" w:sz="0" w:space="0" w:color="auto"/>
      </w:divBdr>
      <w:divsChild>
        <w:div w:id="193425609">
          <w:marLeft w:val="0"/>
          <w:marRight w:val="0"/>
          <w:marTop w:val="0"/>
          <w:marBottom w:val="0"/>
          <w:divBdr>
            <w:top w:val="none" w:sz="0" w:space="0" w:color="auto"/>
            <w:left w:val="none" w:sz="0" w:space="0" w:color="auto"/>
            <w:bottom w:val="none" w:sz="0" w:space="0" w:color="auto"/>
            <w:right w:val="none" w:sz="0" w:space="0" w:color="auto"/>
          </w:divBdr>
        </w:div>
      </w:divsChild>
    </w:div>
    <w:div w:id="2100984110">
      <w:bodyDiv w:val="1"/>
      <w:marLeft w:val="0"/>
      <w:marRight w:val="0"/>
      <w:marTop w:val="0"/>
      <w:marBottom w:val="0"/>
      <w:divBdr>
        <w:top w:val="none" w:sz="0" w:space="0" w:color="auto"/>
        <w:left w:val="none" w:sz="0" w:space="0" w:color="auto"/>
        <w:bottom w:val="none" w:sz="0" w:space="0" w:color="auto"/>
        <w:right w:val="none" w:sz="0" w:space="0" w:color="auto"/>
      </w:divBdr>
      <w:divsChild>
        <w:div w:id="520583126">
          <w:marLeft w:val="0"/>
          <w:marRight w:val="0"/>
          <w:marTop w:val="0"/>
          <w:marBottom w:val="0"/>
          <w:divBdr>
            <w:top w:val="none" w:sz="0" w:space="0" w:color="auto"/>
            <w:left w:val="none" w:sz="0" w:space="0" w:color="auto"/>
            <w:bottom w:val="none" w:sz="0" w:space="0" w:color="auto"/>
            <w:right w:val="none" w:sz="0" w:space="0" w:color="auto"/>
          </w:divBdr>
        </w:div>
      </w:divsChild>
    </w:div>
    <w:div w:id="2119787568">
      <w:bodyDiv w:val="1"/>
      <w:marLeft w:val="0"/>
      <w:marRight w:val="0"/>
      <w:marTop w:val="0"/>
      <w:marBottom w:val="0"/>
      <w:divBdr>
        <w:top w:val="none" w:sz="0" w:space="0" w:color="auto"/>
        <w:left w:val="none" w:sz="0" w:space="0" w:color="auto"/>
        <w:bottom w:val="none" w:sz="0" w:space="0" w:color="auto"/>
        <w:right w:val="none" w:sz="0" w:space="0" w:color="auto"/>
      </w:divBdr>
      <w:divsChild>
        <w:div w:id="11978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pubmed.ncbi.nlm.nih.gov/?term=Shi+S&amp;cauthor_id=28674727" TargetMode="External"/><Relationship Id="rId18" Type="http://schemas.openxmlformats.org/officeDocument/2006/relationships/hyperlink" Target="https://pubmed.ncbi.nlm.nih.gov/?sort=date&amp;term=Sambrook+P&amp;cauthor_id=155374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term=Chen+H&amp;cauthor_id=28674727" TargetMode="External"/><Relationship Id="rId17" Type="http://schemas.openxmlformats.org/officeDocument/2006/relationships/hyperlink" Target="https://pubmed.ncbi.nlm.nih.gov/15721290/" TargetMode="External"/><Relationship Id="rId2" Type="http://schemas.openxmlformats.org/officeDocument/2006/relationships/numbering" Target="numbering.xml"/><Relationship Id="rId16" Type="http://schemas.openxmlformats.org/officeDocument/2006/relationships/hyperlink" Target="https://pubmed.ncbi.nlm.nih.gov/26615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Liu+Y&amp;cauthor_id=28674727" TargetMode="External"/><Relationship Id="rId5" Type="http://schemas.openxmlformats.org/officeDocument/2006/relationships/webSettings" Target="webSettings.xml"/><Relationship Id="rId15" Type="http://schemas.openxmlformats.org/officeDocument/2006/relationships/hyperlink" Target="https://pubmed.ncbi.nlm.nih.gov/38788468/" TargetMode="External"/><Relationship Id="rId10" Type="http://schemas.openxmlformats.org/officeDocument/2006/relationships/hyperlink" Target="https://pubmed.ncbi.nlm.nih.gov/?term=Luo+Z&amp;cauthor_id=2867472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med.ncbi.nlm.nih.gov/?term=Schulman+LL&amp;cauthor_id=10440391" TargetMode="External"/><Relationship Id="rId14" Type="http://schemas.openxmlformats.org/officeDocument/2006/relationships/hyperlink" Target="https://pubmed.ncbi.nlm.nih.gov/?term=Liu+Y&amp;cauthor_id=286747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3C7A-990B-4E47-BBED-F7BDB689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28</Pages>
  <Words>12469</Words>
  <Characters>71077</Characters>
  <Application>Microsoft Office Word</Application>
  <DocSecurity>0</DocSecurity>
  <Lines>592</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Kenneth Feingold</cp:lastModifiedBy>
  <cp:revision>138</cp:revision>
  <cp:lastPrinted>2025-04-13T16:34:00Z</cp:lastPrinted>
  <dcterms:created xsi:type="dcterms:W3CDTF">2025-04-13T20:38:00Z</dcterms:created>
  <dcterms:modified xsi:type="dcterms:W3CDTF">2025-05-06T00:01:00Z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4a51a21bfaa0efe931a27dac13c21939ca816dfff01624d2d516d619a01de80b</vt:lpwstr>
  </property>
</Properties>
</file>