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0C559" w14:textId="77777777" w:rsidR="00F02DC6" w:rsidRPr="00F02DC6" w:rsidRDefault="00F02DC6" w:rsidP="00C71DCD">
      <w:pPr>
        <w:spacing w:after="0" w:line="276" w:lineRule="auto"/>
        <w:outlineLvl w:val="0"/>
        <w:rPr>
          <w:rFonts w:ascii="Arial" w:hAnsi="Arial" w:cs="Arial"/>
          <w:b/>
          <w:bCs/>
          <w:sz w:val="28"/>
          <w:szCs w:val="28"/>
        </w:rPr>
      </w:pPr>
      <w:r w:rsidRPr="00F02DC6">
        <w:rPr>
          <w:rFonts w:ascii="Arial" w:hAnsi="Arial" w:cs="Arial"/>
          <w:b/>
          <w:bCs/>
          <w:sz w:val="28"/>
          <w:szCs w:val="28"/>
        </w:rPr>
        <w:t>Severe Thyrotoxicosis in the Elderly</w:t>
      </w:r>
    </w:p>
    <w:p w14:paraId="72FFCF59" w14:textId="77777777" w:rsidR="00C71DCD" w:rsidRDefault="00C71DCD" w:rsidP="00C71DCD">
      <w:pPr>
        <w:spacing w:after="0" w:line="276" w:lineRule="auto"/>
        <w:outlineLvl w:val="0"/>
        <w:rPr>
          <w:rFonts w:ascii="Arial" w:hAnsi="Arial" w:cs="Arial"/>
          <w:b/>
          <w:bCs/>
          <w:sz w:val="24"/>
          <w:szCs w:val="24"/>
        </w:rPr>
      </w:pPr>
    </w:p>
    <w:p w14:paraId="4FC8D2F4" w14:textId="469F940F" w:rsidR="00F02DC6" w:rsidRDefault="00F02DC6" w:rsidP="00C71DCD">
      <w:pPr>
        <w:spacing w:after="0" w:line="276" w:lineRule="auto"/>
        <w:outlineLvl w:val="0"/>
        <w:rPr>
          <w:rFonts w:ascii="Arial" w:hAnsi="Arial" w:cs="Arial"/>
          <w:sz w:val="20"/>
          <w:szCs w:val="20"/>
        </w:rPr>
      </w:pPr>
      <w:r w:rsidRPr="00F02DC6">
        <w:rPr>
          <w:rFonts w:ascii="Arial" w:hAnsi="Arial" w:cs="Arial"/>
          <w:b/>
          <w:bCs/>
          <w:sz w:val="24"/>
          <w:szCs w:val="24"/>
        </w:rPr>
        <w:t>Matthew Kim, MD.</w:t>
      </w:r>
      <w:r>
        <w:rPr>
          <w:rFonts w:ascii="Arial" w:hAnsi="Arial" w:cs="Arial"/>
          <w:b/>
          <w:bCs/>
          <w:sz w:val="24"/>
          <w:szCs w:val="24"/>
        </w:rPr>
        <w:t xml:space="preserve"> </w:t>
      </w:r>
      <w:r w:rsidRPr="00F02DC6">
        <w:rPr>
          <w:rFonts w:ascii="Arial" w:hAnsi="Arial" w:cs="Arial"/>
          <w:sz w:val="20"/>
          <w:szCs w:val="20"/>
        </w:rPr>
        <w:t>Assistant Professor of Medicine/Associate Physician, Brigham and Women’s Hospital, Boston, MA</w:t>
      </w:r>
    </w:p>
    <w:p w14:paraId="1DC917B7" w14:textId="77777777" w:rsidR="00C71DCD" w:rsidRDefault="00C71DCD" w:rsidP="00C71DCD">
      <w:pPr>
        <w:spacing w:after="0" w:line="276" w:lineRule="auto"/>
        <w:outlineLvl w:val="0"/>
        <w:rPr>
          <w:rFonts w:ascii="Arial" w:hAnsi="Arial" w:cs="Arial"/>
          <w:b/>
          <w:bCs/>
        </w:rPr>
      </w:pPr>
    </w:p>
    <w:p w14:paraId="4ED0B0FD" w14:textId="3DA2AB86" w:rsidR="00F02DC6" w:rsidRPr="00C71DCD" w:rsidRDefault="00F02DC6" w:rsidP="00C71DCD">
      <w:pPr>
        <w:spacing w:after="0" w:line="276" w:lineRule="auto"/>
        <w:outlineLvl w:val="0"/>
        <w:rPr>
          <w:rFonts w:ascii="Arial" w:hAnsi="Arial" w:cs="Arial"/>
          <w:b/>
          <w:bCs/>
        </w:rPr>
      </w:pPr>
      <w:r w:rsidRPr="00C71DCD">
        <w:rPr>
          <w:rFonts w:ascii="Arial" w:hAnsi="Arial" w:cs="Arial"/>
          <w:b/>
          <w:bCs/>
        </w:rPr>
        <w:t xml:space="preserve">Updated May </w:t>
      </w:r>
      <w:r w:rsidR="00C0521F">
        <w:rPr>
          <w:rFonts w:ascii="Arial" w:hAnsi="Arial" w:cs="Arial"/>
          <w:b/>
          <w:bCs/>
        </w:rPr>
        <w:t>3</w:t>
      </w:r>
      <w:r w:rsidRPr="00C71DCD">
        <w:rPr>
          <w:rFonts w:ascii="Arial" w:hAnsi="Arial" w:cs="Arial"/>
          <w:b/>
          <w:bCs/>
        </w:rPr>
        <w:t>1, 2022</w:t>
      </w:r>
    </w:p>
    <w:p w14:paraId="7389AAFA" w14:textId="77777777" w:rsidR="00F02DC6" w:rsidRPr="00F02DC6" w:rsidRDefault="00F02DC6" w:rsidP="00C71DCD">
      <w:pPr>
        <w:spacing w:after="0" w:line="276" w:lineRule="auto"/>
        <w:outlineLvl w:val="0"/>
        <w:rPr>
          <w:rFonts w:ascii="Arial" w:hAnsi="Arial" w:cs="Arial"/>
        </w:rPr>
      </w:pPr>
    </w:p>
    <w:p w14:paraId="34C196CD" w14:textId="77777777" w:rsidR="00F02DC6" w:rsidRPr="00F02DC6" w:rsidRDefault="00F02DC6" w:rsidP="00C71DCD">
      <w:pPr>
        <w:spacing w:after="0" w:line="276" w:lineRule="auto"/>
        <w:outlineLvl w:val="0"/>
        <w:rPr>
          <w:rFonts w:ascii="Arial" w:hAnsi="Arial" w:cs="Arial"/>
          <w:b/>
          <w:bCs/>
          <w:color w:val="0070C0"/>
        </w:rPr>
      </w:pPr>
      <w:r w:rsidRPr="00F02DC6">
        <w:rPr>
          <w:rFonts w:ascii="Arial" w:hAnsi="Arial" w:cs="Arial"/>
          <w:b/>
          <w:bCs/>
          <w:color w:val="0070C0"/>
        </w:rPr>
        <w:t>CLINICAL RECOGNITION</w:t>
      </w:r>
    </w:p>
    <w:p w14:paraId="2DD3CF00" w14:textId="77777777" w:rsidR="00F02DC6" w:rsidRDefault="00F02DC6" w:rsidP="00C71DCD">
      <w:pPr>
        <w:spacing w:after="0" w:line="276" w:lineRule="auto"/>
        <w:outlineLvl w:val="0"/>
        <w:rPr>
          <w:rFonts w:ascii="Arial" w:hAnsi="Arial" w:cs="Arial"/>
        </w:rPr>
      </w:pPr>
    </w:p>
    <w:p w14:paraId="01C2FEEF" w14:textId="106FD890" w:rsidR="00F02DC6" w:rsidRPr="00F02DC6" w:rsidRDefault="00F02DC6" w:rsidP="00C71DCD">
      <w:pPr>
        <w:spacing w:after="0" w:line="276" w:lineRule="auto"/>
        <w:outlineLvl w:val="0"/>
        <w:rPr>
          <w:rFonts w:ascii="Arial" w:hAnsi="Arial" w:cs="Arial"/>
        </w:rPr>
      </w:pPr>
      <w:r w:rsidRPr="00F02DC6">
        <w:rPr>
          <w:rFonts w:ascii="Arial" w:hAnsi="Arial" w:cs="Arial"/>
        </w:rPr>
        <w:t>Thyrotoxicosis in the elderly may elude detection by manifesting only fatigue, weakness, and relative apathy. More commonly it presents with any of a range of symptoms including fatigue, weight loss, heat intolerance, palpitations, weakness, insomnia, irritability, confusion, and agitation. Clinical findings that may raise suspicion include tachycardia, proptosis, goitrous enlargement of the thyroid, palpable thyroid nodules, warm moist skin, brisk deep tendon reflexes, and a resting tremor. A newly detected atrial arrhythmia may be the first manifestation identified.</w:t>
      </w:r>
    </w:p>
    <w:p w14:paraId="30BABCBD" w14:textId="77777777" w:rsidR="00F02DC6" w:rsidRPr="00F02DC6" w:rsidRDefault="00F02DC6" w:rsidP="00C71DCD">
      <w:pPr>
        <w:spacing w:after="0" w:line="276" w:lineRule="auto"/>
        <w:outlineLvl w:val="0"/>
        <w:rPr>
          <w:rFonts w:ascii="Arial" w:hAnsi="Arial" w:cs="Arial"/>
        </w:rPr>
      </w:pPr>
    </w:p>
    <w:p w14:paraId="723397DE" w14:textId="77777777" w:rsidR="00F02DC6" w:rsidRPr="00DB0331" w:rsidRDefault="00F02DC6" w:rsidP="00C71DCD">
      <w:pPr>
        <w:spacing w:after="0" w:line="276" w:lineRule="auto"/>
        <w:outlineLvl w:val="0"/>
        <w:rPr>
          <w:rFonts w:ascii="Arial" w:hAnsi="Arial" w:cs="Arial"/>
          <w:b/>
          <w:bCs/>
          <w:color w:val="0070C0"/>
        </w:rPr>
      </w:pPr>
      <w:r w:rsidRPr="00DB0331">
        <w:rPr>
          <w:rFonts w:ascii="Arial" w:hAnsi="Arial" w:cs="Arial"/>
          <w:b/>
          <w:bCs/>
          <w:color w:val="0070C0"/>
        </w:rPr>
        <w:t>DIAGNOSIS AND DIFFERENTIAL DIAGNOSIS</w:t>
      </w:r>
    </w:p>
    <w:p w14:paraId="7C52AD04" w14:textId="77777777" w:rsidR="00DB0331" w:rsidRDefault="00DB0331" w:rsidP="00C71DCD">
      <w:pPr>
        <w:spacing w:after="0" w:line="276" w:lineRule="auto"/>
        <w:outlineLvl w:val="0"/>
        <w:rPr>
          <w:rFonts w:ascii="Arial" w:hAnsi="Arial" w:cs="Arial"/>
        </w:rPr>
      </w:pPr>
    </w:p>
    <w:p w14:paraId="40562266" w14:textId="09FFE651" w:rsidR="00F02DC6" w:rsidRDefault="00F02DC6" w:rsidP="00C71DCD">
      <w:pPr>
        <w:spacing w:after="0" w:line="276" w:lineRule="auto"/>
        <w:outlineLvl w:val="0"/>
        <w:rPr>
          <w:rFonts w:ascii="Arial" w:hAnsi="Arial" w:cs="Arial"/>
        </w:rPr>
      </w:pPr>
      <w:r w:rsidRPr="00F02DC6">
        <w:rPr>
          <w:rFonts w:ascii="Arial" w:hAnsi="Arial" w:cs="Arial"/>
        </w:rPr>
        <w:t>Endogenous thyrotoxicosis may be caused by disorders that increase thyroid hormone production in functional thyroid tissue, or by disorders associated with inflammation of the thyroid that cause leakage of preformed thyroid hormone. The distinction between these classifications helps to dictate treatment. Increased thyroid hormone production may be caused by autoimmune stimulation of the thyroid, or by the growth of autonomously functioning nodules or neoplasms. Checkpoint inhibitors that are used to treat a range of malignancies can induce a rapidly progressing form of autoimmune thyroiditis associated with transient thyrotoxicosis. In patients treated with thyroid hormone preparations, ingestion of excessive doses may lead to severe thyrotoxicosis. Rarely thyrotoxicosis is induced during therapeutic administration of interferon alpha or CAMPATH.</w:t>
      </w:r>
      <w:r w:rsidR="00E3449F">
        <w:rPr>
          <w:rFonts w:ascii="Arial" w:hAnsi="Arial" w:cs="Arial"/>
        </w:rPr>
        <w:t xml:space="preserve"> Finally, tyrosine kinase inhibitors can also induce hyperthyroidism.</w:t>
      </w:r>
    </w:p>
    <w:p w14:paraId="39335EAF" w14:textId="02C42E54" w:rsidR="00E3449F" w:rsidRDefault="00E3449F" w:rsidP="00C71DCD">
      <w:pPr>
        <w:spacing w:after="0" w:line="276" w:lineRule="auto"/>
        <w:outlineLv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tblGrid>
      <w:tr w:rsidR="00E3449F" w:rsidRPr="00E3449F" w14:paraId="246D0C48" w14:textId="77777777" w:rsidTr="00E3449F">
        <w:trPr>
          <w:trHeight w:val="332"/>
        </w:trPr>
        <w:tc>
          <w:tcPr>
            <w:tcW w:w="5238" w:type="dxa"/>
            <w:tcBorders>
              <w:top w:val="single" w:sz="4" w:space="0" w:color="auto"/>
              <w:left w:val="single" w:sz="4" w:space="0" w:color="auto"/>
              <w:bottom w:val="single" w:sz="4" w:space="0" w:color="auto"/>
              <w:right w:val="single" w:sz="4" w:space="0" w:color="auto"/>
            </w:tcBorders>
            <w:shd w:val="clear" w:color="auto" w:fill="FFFF00"/>
            <w:hideMark/>
          </w:tcPr>
          <w:p w14:paraId="39AC5CB3" w14:textId="1FFF77E1" w:rsidR="00E3449F" w:rsidRPr="00E3449F" w:rsidRDefault="00E3449F" w:rsidP="00C71DCD">
            <w:pPr>
              <w:spacing w:after="0" w:line="276" w:lineRule="auto"/>
              <w:outlineLvl w:val="0"/>
              <w:rPr>
                <w:rFonts w:ascii="Arial" w:eastAsia="Times New Roman" w:hAnsi="Arial" w:cs="Times New Roman"/>
                <w:b/>
                <w:color w:val="006600"/>
              </w:rPr>
            </w:pPr>
            <w:r w:rsidRPr="00E3449F">
              <w:rPr>
                <w:rFonts w:ascii="Arial" w:eastAsia="Times" w:hAnsi="Arial" w:cs="Times New Roman"/>
                <w:b/>
              </w:rPr>
              <w:t>Table 1. Causes of Thyrotoxicosis in Elderly</w:t>
            </w:r>
          </w:p>
        </w:tc>
      </w:tr>
      <w:tr w:rsidR="00E3449F" w:rsidRPr="00E3449F" w14:paraId="5C69B7A1" w14:textId="77777777" w:rsidTr="00A31156">
        <w:tc>
          <w:tcPr>
            <w:tcW w:w="5238" w:type="dxa"/>
            <w:tcBorders>
              <w:top w:val="single" w:sz="4" w:space="0" w:color="auto"/>
              <w:left w:val="single" w:sz="4" w:space="0" w:color="auto"/>
              <w:bottom w:val="single" w:sz="4" w:space="0" w:color="auto"/>
              <w:right w:val="single" w:sz="4" w:space="0" w:color="auto"/>
            </w:tcBorders>
            <w:hideMark/>
          </w:tcPr>
          <w:p w14:paraId="067CE40D" w14:textId="77777777" w:rsidR="00E3449F" w:rsidRPr="00E3449F" w:rsidRDefault="00E3449F" w:rsidP="00C71DCD">
            <w:pPr>
              <w:spacing w:after="0" w:line="276" w:lineRule="auto"/>
              <w:outlineLvl w:val="0"/>
              <w:rPr>
                <w:rFonts w:ascii="Arial" w:eastAsia="Times New Roman" w:hAnsi="Arial" w:cs="Times New Roman"/>
                <w:b/>
              </w:rPr>
            </w:pPr>
            <w:r w:rsidRPr="00E3449F">
              <w:rPr>
                <w:rFonts w:ascii="Arial" w:eastAsia="Times" w:hAnsi="Arial" w:cs="Times New Roman"/>
                <w:b/>
              </w:rPr>
              <w:t xml:space="preserve">Increased thyroid hormone production </w:t>
            </w:r>
          </w:p>
          <w:p w14:paraId="00457B8D" w14:textId="77777777" w:rsidR="00E3449F" w:rsidRPr="00E3449F" w:rsidRDefault="00E3449F" w:rsidP="00C71DCD">
            <w:pPr>
              <w:spacing w:after="0" w:line="276" w:lineRule="auto"/>
              <w:outlineLvl w:val="0"/>
              <w:rPr>
                <w:rFonts w:ascii="Arial" w:eastAsia="Times" w:hAnsi="Arial" w:cs="Times New Roman"/>
              </w:rPr>
            </w:pPr>
            <w:r w:rsidRPr="00E3449F">
              <w:rPr>
                <w:rFonts w:ascii="Arial" w:eastAsia="Times" w:hAnsi="Arial" w:cs="Times New Roman"/>
              </w:rPr>
              <w:t>Graves’ disease</w:t>
            </w:r>
          </w:p>
          <w:p w14:paraId="04A185E0" w14:textId="77777777" w:rsidR="00E3449F" w:rsidRPr="00E3449F" w:rsidRDefault="00E3449F" w:rsidP="00C71DCD">
            <w:pPr>
              <w:spacing w:after="0" w:line="276" w:lineRule="auto"/>
              <w:outlineLvl w:val="0"/>
              <w:rPr>
                <w:rFonts w:ascii="Arial" w:eastAsia="Times" w:hAnsi="Arial" w:cs="Times New Roman"/>
              </w:rPr>
            </w:pPr>
            <w:r w:rsidRPr="00E3449F">
              <w:rPr>
                <w:rFonts w:ascii="Arial" w:eastAsia="Times" w:hAnsi="Arial" w:cs="Times New Roman"/>
              </w:rPr>
              <w:t>Toxic multinodular goiter</w:t>
            </w:r>
          </w:p>
          <w:p w14:paraId="439997F3" w14:textId="77777777" w:rsidR="00E3449F" w:rsidRPr="00E3449F" w:rsidRDefault="00E3449F" w:rsidP="00C71DCD">
            <w:pPr>
              <w:spacing w:after="0" w:line="276" w:lineRule="auto"/>
              <w:outlineLvl w:val="0"/>
              <w:rPr>
                <w:rFonts w:ascii="Arial" w:eastAsia="Times" w:hAnsi="Arial" w:cs="Times New Roman"/>
              </w:rPr>
            </w:pPr>
            <w:r w:rsidRPr="00E3449F">
              <w:rPr>
                <w:rFonts w:ascii="Arial" w:eastAsia="Times" w:hAnsi="Arial" w:cs="Times New Roman"/>
              </w:rPr>
              <w:t>Toxic adenoma</w:t>
            </w:r>
          </w:p>
          <w:p w14:paraId="7667289D" w14:textId="77777777" w:rsidR="00E3449F" w:rsidRPr="00E3449F" w:rsidRDefault="00E3449F" w:rsidP="00C71DCD">
            <w:pPr>
              <w:spacing w:after="0" w:line="276" w:lineRule="auto"/>
              <w:outlineLvl w:val="0"/>
              <w:rPr>
                <w:rFonts w:ascii="Arial" w:eastAsia="Times" w:hAnsi="Arial" w:cs="Times New Roman"/>
              </w:rPr>
            </w:pPr>
            <w:r w:rsidRPr="00E3449F">
              <w:rPr>
                <w:rFonts w:ascii="Arial" w:eastAsia="Times" w:hAnsi="Arial" w:cs="Times New Roman"/>
              </w:rPr>
              <w:t>Type 1 amiodarone-induced thyrotoxicosis</w:t>
            </w:r>
          </w:p>
          <w:p w14:paraId="6E8E1933" w14:textId="77777777" w:rsidR="00E3449F" w:rsidRPr="00E3449F" w:rsidRDefault="00E3449F" w:rsidP="00C71DCD">
            <w:pPr>
              <w:spacing w:after="0" w:line="276" w:lineRule="auto"/>
              <w:outlineLvl w:val="0"/>
              <w:rPr>
                <w:rFonts w:ascii="Arial" w:eastAsia="Times New Roman" w:hAnsi="Arial" w:cs="Times New Roman"/>
              </w:rPr>
            </w:pPr>
            <w:r w:rsidRPr="00E3449F">
              <w:rPr>
                <w:rFonts w:ascii="Arial" w:eastAsia="Times" w:hAnsi="Arial" w:cs="Times New Roman"/>
              </w:rPr>
              <w:t>Metastatic thyroid cancer</w:t>
            </w:r>
          </w:p>
        </w:tc>
      </w:tr>
      <w:tr w:rsidR="00E3449F" w:rsidRPr="00E3449F" w14:paraId="632DC11D" w14:textId="77777777" w:rsidTr="00A31156">
        <w:tc>
          <w:tcPr>
            <w:tcW w:w="5238" w:type="dxa"/>
            <w:tcBorders>
              <w:top w:val="single" w:sz="4" w:space="0" w:color="auto"/>
              <w:left w:val="single" w:sz="4" w:space="0" w:color="auto"/>
              <w:bottom w:val="single" w:sz="4" w:space="0" w:color="auto"/>
              <w:right w:val="single" w:sz="4" w:space="0" w:color="auto"/>
            </w:tcBorders>
            <w:hideMark/>
          </w:tcPr>
          <w:p w14:paraId="5EB6904D" w14:textId="77777777" w:rsidR="00E3449F" w:rsidRPr="00E3449F" w:rsidRDefault="00E3449F" w:rsidP="00C71DCD">
            <w:pPr>
              <w:spacing w:after="0" w:line="276" w:lineRule="auto"/>
              <w:outlineLvl w:val="0"/>
              <w:rPr>
                <w:rFonts w:ascii="Arial" w:eastAsia="Times New Roman" w:hAnsi="Arial" w:cs="Times New Roman"/>
                <w:b/>
              </w:rPr>
            </w:pPr>
            <w:r w:rsidRPr="00E3449F">
              <w:rPr>
                <w:rFonts w:ascii="Arial" w:eastAsia="Times" w:hAnsi="Arial" w:cs="Times New Roman"/>
                <w:b/>
              </w:rPr>
              <w:t>Inflammation with leakage of thyroid hormone</w:t>
            </w:r>
          </w:p>
          <w:p w14:paraId="1CCABAA2" w14:textId="77777777" w:rsidR="00E3449F" w:rsidRPr="00E3449F" w:rsidRDefault="00E3449F" w:rsidP="00C71DCD">
            <w:pPr>
              <w:spacing w:after="0" w:line="276" w:lineRule="auto"/>
              <w:outlineLvl w:val="0"/>
              <w:rPr>
                <w:rFonts w:ascii="Arial" w:eastAsia="Times" w:hAnsi="Arial" w:cs="Times New Roman"/>
              </w:rPr>
            </w:pPr>
            <w:r w:rsidRPr="00E3449F">
              <w:rPr>
                <w:rFonts w:ascii="Arial" w:eastAsia="Times" w:hAnsi="Arial" w:cs="Times New Roman"/>
              </w:rPr>
              <w:t>Subacute thyroiditis</w:t>
            </w:r>
          </w:p>
          <w:p w14:paraId="28669878" w14:textId="77777777" w:rsidR="00E3449F" w:rsidRPr="00E3449F" w:rsidRDefault="00E3449F" w:rsidP="00C71DCD">
            <w:pPr>
              <w:spacing w:after="0" w:line="276" w:lineRule="auto"/>
              <w:outlineLvl w:val="0"/>
              <w:rPr>
                <w:rFonts w:ascii="Arial" w:eastAsia="Times" w:hAnsi="Arial" w:cs="Times New Roman"/>
              </w:rPr>
            </w:pPr>
            <w:r w:rsidRPr="00E3449F">
              <w:rPr>
                <w:rFonts w:ascii="Arial" w:eastAsia="Times" w:hAnsi="Arial" w:cs="Times New Roman"/>
              </w:rPr>
              <w:t>Autoimmune (Hashimoto’s) thyroiditis</w:t>
            </w:r>
          </w:p>
          <w:p w14:paraId="02F3EF3E" w14:textId="77777777" w:rsidR="00E3449F" w:rsidRPr="00E3449F" w:rsidRDefault="00E3449F" w:rsidP="00C71DCD">
            <w:pPr>
              <w:spacing w:after="0" w:line="276" w:lineRule="auto"/>
              <w:outlineLvl w:val="0"/>
              <w:rPr>
                <w:rFonts w:ascii="Arial" w:eastAsia="Times New Roman" w:hAnsi="Arial" w:cs="Times New Roman"/>
              </w:rPr>
            </w:pPr>
            <w:r w:rsidRPr="00E3449F">
              <w:rPr>
                <w:rFonts w:ascii="Arial" w:eastAsia="Times" w:hAnsi="Arial" w:cs="Times New Roman"/>
              </w:rPr>
              <w:t>Type 2 amiodarone-induced thyrotoxicosis</w:t>
            </w:r>
          </w:p>
        </w:tc>
      </w:tr>
      <w:tr w:rsidR="00E3449F" w:rsidRPr="00E3449F" w14:paraId="1C9A5DEA" w14:textId="77777777" w:rsidTr="00A31156">
        <w:tc>
          <w:tcPr>
            <w:tcW w:w="5238" w:type="dxa"/>
            <w:tcBorders>
              <w:top w:val="single" w:sz="4" w:space="0" w:color="auto"/>
              <w:left w:val="single" w:sz="4" w:space="0" w:color="auto"/>
              <w:bottom w:val="single" w:sz="4" w:space="0" w:color="auto"/>
              <w:right w:val="single" w:sz="4" w:space="0" w:color="auto"/>
            </w:tcBorders>
            <w:hideMark/>
          </w:tcPr>
          <w:p w14:paraId="6D565A17" w14:textId="77777777" w:rsidR="00E3449F" w:rsidRPr="00E3449F" w:rsidRDefault="00E3449F" w:rsidP="00C71DCD">
            <w:pPr>
              <w:spacing w:after="0" w:line="276" w:lineRule="auto"/>
              <w:outlineLvl w:val="0"/>
              <w:rPr>
                <w:rFonts w:ascii="Arial" w:eastAsia="Times New Roman" w:hAnsi="Arial" w:cs="Times New Roman"/>
                <w:b/>
              </w:rPr>
            </w:pPr>
            <w:r w:rsidRPr="00E3449F">
              <w:rPr>
                <w:rFonts w:ascii="Arial" w:eastAsia="Times" w:hAnsi="Arial" w:cs="Times New Roman"/>
                <w:b/>
              </w:rPr>
              <w:t>Ingestion of exogenous thyroid hormone</w:t>
            </w:r>
          </w:p>
          <w:p w14:paraId="24CB0C0F" w14:textId="77777777" w:rsidR="00E3449F" w:rsidRPr="00E3449F" w:rsidRDefault="00E3449F" w:rsidP="00C71DCD">
            <w:pPr>
              <w:spacing w:after="0" w:line="276" w:lineRule="auto"/>
              <w:outlineLvl w:val="0"/>
              <w:rPr>
                <w:rFonts w:ascii="Arial" w:eastAsia="Times New Roman" w:hAnsi="Arial" w:cs="Times New Roman"/>
              </w:rPr>
            </w:pPr>
            <w:r w:rsidRPr="00E3449F">
              <w:rPr>
                <w:rFonts w:ascii="Arial" w:eastAsia="Times" w:hAnsi="Arial" w:cs="Times New Roman"/>
              </w:rPr>
              <w:lastRenderedPageBreak/>
              <w:t>Iatrogenic thyrotoxicosis</w:t>
            </w:r>
          </w:p>
        </w:tc>
      </w:tr>
      <w:tr w:rsidR="00E3449F" w:rsidRPr="00E3449F" w14:paraId="62173816" w14:textId="77777777" w:rsidTr="00A31156">
        <w:tc>
          <w:tcPr>
            <w:tcW w:w="5238" w:type="dxa"/>
            <w:tcBorders>
              <w:top w:val="single" w:sz="4" w:space="0" w:color="auto"/>
              <w:left w:val="single" w:sz="4" w:space="0" w:color="auto"/>
              <w:bottom w:val="single" w:sz="4" w:space="0" w:color="auto"/>
              <w:right w:val="single" w:sz="4" w:space="0" w:color="auto"/>
            </w:tcBorders>
            <w:hideMark/>
          </w:tcPr>
          <w:p w14:paraId="691191E7" w14:textId="77777777" w:rsidR="00E3449F" w:rsidRPr="00E3449F" w:rsidRDefault="00E3449F" w:rsidP="00C71DCD">
            <w:pPr>
              <w:spacing w:after="0" w:line="276" w:lineRule="auto"/>
              <w:outlineLvl w:val="0"/>
              <w:rPr>
                <w:rFonts w:ascii="Arial" w:eastAsia="Times New Roman" w:hAnsi="Arial" w:cs="Times New Roman"/>
                <w:b/>
              </w:rPr>
            </w:pPr>
            <w:r w:rsidRPr="00E3449F">
              <w:rPr>
                <w:rFonts w:ascii="Arial" w:eastAsia="Times" w:hAnsi="Arial" w:cs="Times New Roman"/>
                <w:b/>
              </w:rPr>
              <w:lastRenderedPageBreak/>
              <w:t>TSH-secreting pituitary adenoma</w:t>
            </w:r>
          </w:p>
        </w:tc>
      </w:tr>
    </w:tbl>
    <w:p w14:paraId="3B31FC52" w14:textId="77777777" w:rsidR="00E3449F" w:rsidRPr="00E3449F" w:rsidRDefault="00E3449F" w:rsidP="00C71DCD">
      <w:pPr>
        <w:spacing w:after="0" w:line="276" w:lineRule="auto"/>
        <w:outlineLvl w:val="0"/>
        <w:rPr>
          <w:rFonts w:ascii="Arial" w:hAnsi="Arial" w:cs="Arial"/>
        </w:rPr>
      </w:pPr>
    </w:p>
    <w:p w14:paraId="0861A602" w14:textId="77777777" w:rsidR="00F02DC6" w:rsidRPr="00E3449F" w:rsidRDefault="00F02DC6" w:rsidP="00C71DCD">
      <w:pPr>
        <w:spacing w:after="0" w:line="276" w:lineRule="auto"/>
        <w:outlineLvl w:val="0"/>
        <w:rPr>
          <w:rFonts w:ascii="Arial" w:hAnsi="Arial" w:cs="Arial"/>
          <w:b/>
          <w:bCs/>
          <w:color w:val="0070C0"/>
        </w:rPr>
      </w:pPr>
      <w:r w:rsidRPr="00E3449F">
        <w:rPr>
          <w:rFonts w:ascii="Arial" w:hAnsi="Arial" w:cs="Arial"/>
          <w:b/>
          <w:bCs/>
          <w:color w:val="0070C0"/>
        </w:rPr>
        <w:t>DIAGNOSTIC TESTS NEEDED AND SUGGESTED</w:t>
      </w:r>
    </w:p>
    <w:p w14:paraId="6AB2CC23" w14:textId="77777777" w:rsidR="00E3449F" w:rsidRDefault="00E3449F" w:rsidP="00C71DCD">
      <w:pPr>
        <w:spacing w:after="0" w:line="276" w:lineRule="auto"/>
        <w:outlineLvl w:val="0"/>
        <w:rPr>
          <w:rFonts w:ascii="Arial" w:hAnsi="Arial" w:cs="Arial"/>
        </w:rPr>
      </w:pPr>
    </w:p>
    <w:p w14:paraId="252A4763" w14:textId="6C5156CD" w:rsidR="00F02DC6" w:rsidRPr="00F02DC6" w:rsidRDefault="00F02DC6" w:rsidP="00C71DCD">
      <w:pPr>
        <w:spacing w:after="0" w:line="276" w:lineRule="auto"/>
        <w:outlineLvl w:val="0"/>
        <w:rPr>
          <w:rFonts w:ascii="Arial" w:hAnsi="Arial" w:cs="Arial"/>
        </w:rPr>
      </w:pPr>
      <w:r w:rsidRPr="00F02DC6">
        <w:rPr>
          <w:rFonts w:ascii="Arial" w:hAnsi="Arial" w:cs="Arial"/>
        </w:rPr>
        <w:t xml:space="preserve">Suspected thyrotoxicosis may be confirmed when lab tests reveal a suppressed TSH level in tandem with an elevated free or total T4 level. A total T3 level </w:t>
      </w:r>
      <w:r w:rsidR="00E3449F">
        <w:rPr>
          <w:rFonts w:ascii="Arial" w:hAnsi="Arial" w:cs="Arial"/>
        </w:rPr>
        <w:t>should</w:t>
      </w:r>
      <w:r w:rsidRPr="00F02DC6">
        <w:rPr>
          <w:rFonts w:ascii="Arial" w:hAnsi="Arial" w:cs="Arial"/>
        </w:rPr>
        <w:t xml:space="preserve"> also be checked, as it is often disproportionately elevated in cases of untreated Graves’ disease. In patients who aren’t taking amiodarone and haven’t been recently exposed to iodinated contrast, a thyroid uptake study can distinguish increased production of thyroid hormone (marked by increased uptake), from inflammation with leakage of thyroid hormone (marked by decreased uptake). Thyroid scan images that reveal the distribution of increased uptake can help to distinguish Graves’ disease from toxic nodular disorders. In cases that demonstrate decreased uptake, an elevated ESR or CRP may reflect subacute thyroiditis, while elevated anti-thyroid peroxidase or anti-thyroglobulin antibody levels may reflect autoimmune thyroiditis. The absence of either of these findings may raise suspicion of iatrogenic thyrotoxicosis. </w:t>
      </w:r>
    </w:p>
    <w:p w14:paraId="62015E54" w14:textId="77777777" w:rsidR="00F02DC6" w:rsidRPr="00F02DC6" w:rsidRDefault="00F02DC6" w:rsidP="00C71DCD">
      <w:pPr>
        <w:spacing w:after="0" w:line="276" w:lineRule="auto"/>
        <w:outlineLvl w:val="0"/>
        <w:rPr>
          <w:rFonts w:ascii="Arial" w:hAnsi="Arial" w:cs="Arial"/>
        </w:rPr>
      </w:pPr>
    </w:p>
    <w:p w14:paraId="698CB3A6" w14:textId="5C337A8C" w:rsidR="00F02DC6" w:rsidRPr="00F02DC6" w:rsidRDefault="00F02DC6" w:rsidP="00C71DCD">
      <w:pPr>
        <w:spacing w:after="0" w:line="276" w:lineRule="auto"/>
        <w:outlineLvl w:val="0"/>
        <w:rPr>
          <w:rFonts w:ascii="Arial" w:hAnsi="Arial" w:cs="Arial"/>
        </w:rPr>
      </w:pPr>
      <w:r w:rsidRPr="00F02DC6">
        <w:rPr>
          <w:rFonts w:ascii="Arial" w:hAnsi="Arial" w:cs="Arial"/>
        </w:rPr>
        <w:t xml:space="preserve">A suppressed TSH level with “normal” T4 and T3 levels indicates subclinical hyperthyroidism. This problem is common in elderly individuals with multinodular goiter or “hot” nodules. Long standing subclinical hyperthyroidism is associated with atrial arrhythmias, and for this reason, if confirmed and </w:t>
      </w:r>
      <w:r w:rsidR="004E69D2">
        <w:rPr>
          <w:rFonts w:ascii="Arial" w:hAnsi="Arial" w:cs="Arial"/>
        </w:rPr>
        <w:t>persistent</w:t>
      </w:r>
      <w:r w:rsidRPr="00F02DC6">
        <w:rPr>
          <w:rFonts w:ascii="Arial" w:hAnsi="Arial" w:cs="Arial"/>
        </w:rPr>
        <w:t>, is often treated in the same manner as overt hyperthyroidism.</w:t>
      </w:r>
    </w:p>
    <w:p w14:paraId="55D4E02A" w14:textId="77777777" w:rsidR="00F02DC6" w:rsidRPr="00F02DC6" w:rsidRDefault="00F02DC6" w:rsidP="00C71DCD">
      <w:pPr>
        <w:spacing w:after="0" w:line="276" w:lineRule="auto"/>
        <w:outlineLvl w:val="0"/>
        <w:rPr>
          <w:rFonts w:ascii="Arial" w:hAnsi="Arial" w:cs="Arial"/>
        </w:rPr>
      </w:pPr>
    </w:p>
    <w:p w14:paraId="75F2C2A8" w14:textId="77777777" w:rsidR="00F02DC6" w:rsidRPr="004E69D2" w:rsidRDefault="00F02DC6" w:rsidP="00C71DCD">
      <w:pPr>
        <w:spacing w:after="0" w:line="276" w:lineRule="auto"/>
        <w:outlineLvl w:val="0"/>
        <w:rPr>
          <w:rFonts w:ascii="Arial" w:hAnsi="Arial" w:cs="Arial"/>
          <w:b/>
          <w:bCs/>
          <w:color w:val="0070C0"/>
        </w:rPr>
      </w:pPr>
      <w:r w:rsidRPr="004E69D2">
        <w:rPr>
          <w:rFonts w:ascii="Arial" w:hAnsi="Arial" w:cs="Arial"/>
          <w:b/>
          <w:bCs/>
          <w:color w:val="0070C0"/>
        </w:rPr>
        <w:t>THERAPY</w:t>
      </w:r>
    </w:p>
    <w:p w14:paraId="6A6E8FC7" w14:textId="77777777" w:rsidR="004E69D2" w:rsidRDefault="004E69D2" w:rsidP="00C71DCD">
      <w:pPr>
        <w:spacing w:after="0" w:line="276" w:lineRule="auto"/>
        <w:outlineLvl w:val="0"/>
        <w:rPr>
          <w:rFonts w:ascii="Arial" w:hAnsi="Arial" w:cs="Arial"/>
        </w:rPr>
      </w:pPr>
    </w:p>
    <w:p w14:paraId="7D229D44" w14:textId="3DF13AEE" w:rsidR="00F02DC6" w:rsidRPr="00F02DC6" w:rsidRDefault="00F02DC6" w:rsidP="00C71DCD">
      <w:pPr>
        <w:spacing w:after="0" w:line="276" w:lineRule="auto"/>
        <w:outlineLvl w:val="0"/>
        <w:rPr>
          <w:rFonts w:ascii="Arial" w:hAnsi="Arial" w:cs="Arial"/>
        </w:rPr>
      </w:pPr>
      <w:r w:rsidRPr="00F02DC6">
        <w:rPr>
          <w:rFonts w:ascii="Arial" w:hAnsi="Arial" w:cs="Arial"/>
        </w:rPr>
        <w:t>Severe thyrotoxicosis may induce or exacerbate atrial arrhythmias, ischemia, congestive heart failure or diabetes mellitus, problems requiring urgent diagnosis and therapy. Coincident anemia should be recognized. If tolerated, and in the absence of CHF, beta blockers may help to ameliorate some symptoms in patients presenting with thyrotoxicosis. Since administration of beta-blockers to patients with severe thyrotoxicosis has rarely been associated with vascular collapse, a reduced dose may be administered initially. In cases of severe hyperthyroidism ascribed to Graves’ disease, a toxic multinodular goiter, or a toxic adenoma, antithyroid drugs are usually administered as first line treatment. Methimazole is the usual agent of choice. Relatively high doses (20-40 mg daily) may be needed at the outset. Once adequate control of hyperthyroidism has been achieved, definitive therapy with radioactive iodine ablation or thyroid surgery may be considered. Patients who demonstrate an allergy or adverse side effects when taking antithyroid drugs may need to proceed directly to treatment with radioactive iodine ablation. Consideration should be given to the possibility of triggering increased thyrotoxicosis as a result of radioactive iodine treatment with adverse effects on cardiovascular disease. Pre-treatment with antithyroid drugs, repeated partial dose radioactive iodine therapy, or post-treatment with beta blockers or saturated solution of potassium iodide (at least 10 mg daily) may be considered. Thyroid surgery may be indicated in cases where substernal enlargement of a toxic multinodular goiter has caused significant compressive symptoms, and in cases with any suggestion of a thyroid malignancy. Temporizing treatment with high doses of NSAIDs or prednisone may help to relieve discomfort associated with the onset of subacute thyroiditis.</w:t>
      </w:r>
    </w:p>
    <w:p w14:paraId="33F82BD2" w14:textId="07C15F32" w:rsidR="00F02DC6" w:rsidRDefault="00F02DC6" w:rsidP="00C71DCD">
      <w:pPr>
        <w:spacing w:after="0" w:line="276" w:lineRule="auto"/>
        <w:outlineLv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tblGrid>
      <w:tr w:rsidR="004E69D2" w:rsidRPr="004E69D2" w14:paraId="2C489C35" w14:textId="77777777" w:rsidTr="00A31156">
        <w:tc>
          <w:tcPr>
            <w:tcW w:w="6228" w:type="dxa"/>
            <w:tcBorders>
              <w:top w:val="single" w:sz="4" w:space="0" w:color="auto"/>
              <w:left w:val="single" w:sz="4" w:space="0" w:color="auto"/>
              <w:bottom w:val="single" w:sz="4" w:space="0" w:color="auto"/>
              <w:right w:val="single" w:sz="4" w:space="0" w:color="auto"/>
            </w:tcBorders>
            <w:shd w:val="clear" w:color="auto" w:fill="FFFF00"/>
            <w:hideMark/>
          </w:tcPr>
          <w:p w14:paraId="13B1EFC9" w14:textId="6FF18453" w:rsidR="004E69D2" w:rsidRPr="004E69D2" w:rsidRDefault="004E69D2" w:rsidP="00C71DCD">
            <w:pPr>
              <w:spacing w:after="0" w:line="276" w:lineRule="auto"/>
              <w:outlineLvl w:val="0"/>
              <w:rPr>
                <w:rFonts w:ascii="Arial" w:eastAsia="Times New Roman" w:hAnsi="Arial" w:cs="Times New Roman"/>
                <w:b/>
                <w:color w:val="006600"/>
                <w:szCs w:val="20"/>
              </w:rPr>
            </w:pPr>
            <w:r w:rsidRPr="004E69D2">
              <w:rPr>
                <w:rFonts w:ascii="Arial" w:eastAsia="Times" w:hAnsi="Arial" w:cs="Times New Roman"/>
                <w:b/>
                <w:szCs w:val="20"/>
              </w:rPr>
              <w:t>Table 2</w:t>
            </w:r>
            <w:r>
              <w:rPr>
                <w:rFonts w:ascii="Arial" w:eastAsia="Times" w:hAnsi="Arial" w:cs="Times New Roman"/>
                <w:b/>
                <w:szCs w:val="20"/>
              </w:rPr>
              <w:t>.</w:t>
            </w:r>
            <w:r w:rsidRPr="004E69D2">
              <w:rPr>
                <w:rFonts w:ascii="Arial" w:eastAsia="Times" w:hAnsi="Arial" w:cs="Times New Roman"/>
                <w:b/>
                <w:szCs w:val="20"/>
              </w:rPr>
              <w:t xml:space="preserve"> Treatment</w:t>
            </w:r>
          </w:p>
        </w:tc>
      </w:tr>
      <w:tr w:rsidR="004E69D2" w:rsidRPr="004E69D2" w14:paraId="4E367112" w14:textId="77777777" w:rsidTr="00A31156">
        <w:tc>
          <w:tcPr>
            <w:tcW w:w="6228" w:type="dxa"/>
            <w:tcBorders>
              <w:top w:val="single" w:sz="4" w:space="0" w:color="auto"/>
              <w:left w:val="single" w:sz="4" w:space="0" w:color="auto"/>
              <w:bottom w:val="single" w:sz="4" w:space="0" w:color="auto"/>
              <w:right w:val="single" w:sz="4" w:space="0" w:color="auto"/>
            </w:tcBorders>
            <w:hideMark/>
          </w:tcPr>
          <w:p w14:paraId="789D5AD8" w14:textId="77777777" w:rsidR="004E69D2" w:rsidRPr="004E69D2" w:rsidRDefault="004E69D2" w:rsidP="00C71DCD">
            <w:pPr>
              <w:spacing w:after="0" w:line="276" w:lineRule="auto"/>
              <w:outlineLvl w:val="0"/>
              <w:rPr>
                <w:rFonts w:ascii="Arial" w:eastAsia="Times" w:hAnsi="Arial" w:cs="Times New Roman"/>
                <w:b/>
              </w:rPr>
            </w:pPr>
            <w:r w:rsidRPr="004E69D2">
              <w:rPr>
                <w:rFonts w:ascii="Arial" w:eastAsia="Times" w:hAnsi="Arial" w:cs="Times New Roman"/>
                <w:b/>
              </w:rPr>
              <w:t>Beta blockers</w:t>
            </w:r>
          </w:p>
          <w:p w14:paraId="47B2F625" w14:textId="77777777" w:rsidR="004E69D2" w:rsidRPr="004E69D2" w:rsidRDefault="004E69D2" w:rsidP="00C71DCD">
            <w:pPr>
              <w:spacing w:after="0" w:line="276" w:lineRule="auto"/>
              <w:outlineLvl w:val="0"/>
              <w:rPr>
                <w:rFonts w:ascii="Arial" w:eastAsia="Times" w:hAnsi="Arial" w:cs="Times New Roman"/>
              </w:rPr>
            </w:pPr>
            <w:r w:rsidRPr="004E69D2">
              <w:rPr>
                <w:rFonts w:ascii="Arial" w:eastAsia="Times" w:hAnsi="Arial" w:cs="Times New Roman"/>
              </w:rPr>
              <w:t xml:space="preserve">Propranolol: 10-30 mg </w:t>
            </w:r>
            <w:proofErr w:type="spellStart"/>
            <w:r w:rsidRPr="004E69D2">
              <w:rPr>
                <w:rFonts w:ascii="Arial" w:eastAsia="Times" w:hAnsi="Arial" w:cs="Times New Roman"/>
              </w:rPr>
              <w:t>tid-qid</w:t>
            </w:r>
            <w:proofErr w:type="spellEnd"/>
            <w:r w:rsidRPr="004E69D2">
              <w:rPr>
                <w:rFonts w:ascii="Arial" w:eastAsia="Times" w:hAnsi="Arial" w:cs="Times New Roman"/>
              </w:rPr>
              <w:t>, or 60-120 mg ER daily</w:t>
            </w:r>
          </w:p>
          <w:p w14:paraId="3799D603" w14:textId="77777777" w:rsidR="004E69D2" w:rsidRPr="004E69D2" w:rsidRDefault="004E69D2" w:rsidP="00C71DCD">
            <w:pPr>
              <w:spacing w:after="0" w:line="276" w:lineRule="auto"/>
              <w:outlineLvl w:val="0"/>
              <w:rPr>
                <w:rFonts w:ascii="Arial" w:eastAsia="Times" w:hAnsi="Arial" w:cs="Times New Roman"/>
              </w:rPr>
            </w:pPr>
            <w:r w:rsidRPr="004E69D2">
              <w:rPr>
                <w:rFonts w:ascii="Arial" w:eastAsia="Times" w:hAnsi="Arial" w:cs="Times New Roman"/>
              </w:rPr>
              <w:t>Atenolol: 25-100 mg daily</w:t>
            </w:r>
          </w:p>
          <w:p w14:paraId="23B41280" w14:textId="77777777" w:rsidR="004E69D2" w:rsidRPr="004E69D2" w:rsidRDefault="004E69D2" w:rsidP="00C71DCD">
            <w:pPr>
              <w:spacing w:after="0" w:line="276" w:lineRule="auto"/>
              <w:outlineLvl w:val="0"/>
              <w:rPr>
                <w:rFonts w:ascii="Arial" w:eastAsia="Times" w:hAnsi="Arial" w:cs="Times New Roman"/>
              </w:rPr>
            </w:pPr>
            <w:r w:rsidRPr="004E69D2">
              <w:rPr>
                <w:rFonts w:ascii="Arial" w:eastAsia="Times" w:hAnsi="Arial" w:cs="Times New Roman"/>
              </w:rPr>
              <w:t>Metoprolol: 25-50 mg bid, or 50-100 mg ER daily</w:t>
            </w:r>
          </w:p>
        </w:tc>
      </w:tr>
      <w:tr w:rsidR="004E69D2" w:rsidRPr="004E69D2" w14:paraId="0F2D40E5" w14:textId="77777777" w:rsidTr="00A31156">
        <w:tc>
          <w:tcPr>
            <w:tcW w:w="6228" w:type="dxa"/>
            <w:tcBorders>
              <w:top w:val="single" w:sz="4" w:space="0" w:color="auto"/>
              <w:left w:val="single" w:sz="4" w:space="0" w:color="auto"/>
              <w:bottom w:val="single" w:sz="4" w:space="0" w:color="auto"/>
              <w:right w:val="single" w:sz="4" w:space="0" w:color="auto"/>
            </w:tcBorders>
            <w:hideMark/>
          </w:tcPr>
          <w:p w14:paraId="199C9EB3" w14:textId="77777777" w:rsidR="004E69D2" w:rsidRPr="004E69D2" w:rsidRDefault="004E69D2" w:rsidP="00C71DCD">
            <w:pPr>
              <w:spacing w:after="0" w:line="276" w:lineRule="auto"/>
              <w:outlineLvl w:val="0"/>
              <w:rPr>
                <w:rFonts w:ascii="Arial" w:eastAsia="Times" w:hAnsi="Arial" w:cs="Times New Roman"/>
                <w:b/>
              </w:rPr>
            </w:pPr>
            <w:r w:rsidRPr="004E69D2">
              <w:rPr>
                <w:rFonts w:ascii="Arial" w:eastAsia="Times" w:hAnsi="Arial" w:cs="Times New Roman"/>
                <w:b/>
              </w:rPr>
              <w:t>Antithyroid drugs</w:t>
            </w:r>
          </w:p>
          <w:p w14:paraId="288106BB" w14:textId="77777777" w:rsidR="004E69D2" w:rsidRPr="004E69D2" w:rsidRDefault="004E69D2" w:rsidP="00C71DCD">
            <w:pPr>
              <w:spacing w:after="0" w:line="276" w:lineRule="auto"/>
              <w:outlineLvl w:val="0"/>
              <w:rPr>
                <w:rFonts w:ascii="Arial" w:eastAsia="Times" w:hAnsi="Arial" w:cs="Times New Roman"/>
              </w:rPr>
            </w:pPr>
            <w:r w:rsidRPr="004E69D2">
              <w:rPr>
                <w:rFonts w:ascii="Arial" w:eastAsia="Times" w:hAnsi="Arial" w:cs="Times New Roman"/>
              </w:rPr>
              <w:t>Methimazole: 10-60 mg daily</w:t>
            </w:r>
          </w:p>
          <w:p w14:paraId="78EBF545" w14:textId="77777777" w:rsidR="004E69D2" w:rsidRPr="004E69D2" w:rsidRDefault="004E69D2" w:rsidP="00C71DCD">
            <w:pPr>
              <w:spacing w:after="0" w:line="276" w:lineRule="auto"/>
              <w:outlineLvl w:val="0"/>
              <w:rPr>
                <w:rFonts w:ascii="Arial" w:eastAsia="Times" w:hAnsi="Arial" w:cs="Times New Roman"/>
              </w:rPr>
            </w:pPr>
            <w:r w:rsidRPr="004E69D2">
              <w:rPr>
                <w:rFonts w:ascii="Arial" w:eastAsia="Times" w:hAnsi="Arial" w:cs="Times New Roman"/>
              </w:rPr>
              <w:t>Propylthiouracil: 50-150 mg bid-</w:t>
            </w:r>
            <w:proofErr w:type="spellStart"/>
            <w:r w:rsidRPr="004E69D2">
              <w:rPr>
                <w:rFonts w:ascii="Arial" w:eastAsia="Times" w:hAnsi="Arial" w:cs="Times New Roman"/>
              </w:rPr>
              <w:t>tid</w:t>
            </w:r>
            <w:proofErr w:type="spellEnd"/>
          </w:p>
        </w:tc>
      </w:tr>
      <w:tr w:rsidR="004E69D2" w:rsidRPr="004E69D2" w14:paraId="09469E09" w14:textId="77777777" w:rsidTr="00A31156">
        <w:tc>
          <w:tcPr>
            <w:tcW w:w="6228" w:type="dxa"/>
            <w:tcBorders>
              <w:top w:val="single" w:sz="4" w:space="0" w:color="auto"/>
              <w:left w:val="single" w:sz="4" w:space="0" w:color="auto"/>
              <w:bottom w:val="single" w:sz="4" w:space="0" w:color="auto"/>
              <w:right w:val="single" w:sz="4" w:space="0" w:color="auto"/>
            </w:tcBorders>
            <w:hideMark/>
          </w:tcPr>
          <w:p w14:paraId="561F4929" w14:textId="77777777" w:rsidR="004E69D2" w:rsidRPr="004E69D2" w:rsidRDefault="004E69D2" w:rsidP="00C71DCD">
            <w:pPr>
              <w:spacing w:after="0" w:line="276" w:lineRule="auto"/>
              <w:outlineLvl w:val="0"/>
              <w:rPr>
                <w:rFonts w:ascii="Arial" w:eastAsia="Times" w:hAnsi="Arial" w:cs="Times New Roman"/>
                <w:b/>
              </w:rPr>
            </w:pPr>
            <w:r w:rsidRPr="004E69D2">
              <w:rPr>
                <w:rFonts w:ascii="Arial" w:eastAsia="Times" w:hAnsi="Arial" w:cs="Times New Roman"/>
                <w:b/>
              </w:rPr>
              <w:t>Radioactive iodine</w:t>
            </w:r>
          </w:p>
        </w:tc>
      </w:tr>
      <w:tr w:rsidR="004E69D2" w:rsidRPr="004E69D2" w14:paraId="5542F71B" w14:textId="77777777" w:rsidTr="00A31156">
        <w:tc>
          <w:tcPr>
            <w:tcW w:w="6228" w:type="dxa"/>
            <w:tcBorders>
              <w:top w:val="single" w:sz="4" w:space="0" w:color="auto"/>
              <w:left w:val="single" w:sz="4" w:space="0" w:color="auto"/>
              <w:bottom w:val="single" w:sz="4" w:space="0" w:color="auto"/>
              <w:right w:val="single" w:sz="4" w:space="0" w:color="auto"/>
            </w:tcBorders>
            <w:hideMark/>
          </w:tcPr>
          <w:p w14:paraId="75298793" w14:textId="77777777" w:rsidR="004E69D2" w:rsidRPr="004E69D2" w:rsidRDefault="004E69D2" w:rsidP="00C71DCD">
            <w:pPr>
              <w:spacing w:after="0" w:line="276" w:lineRule="auto"/>
              <w:outlineLvl w:val="0"/>
              <w:rPr>
                <w:rFonts w:ascii="Arial" w:eastAsia="Times" w:hAnsi="Arial" w:cs="Times New Roman"/>
                <w:b/>
              </w:rPr>
            </w:pPr>
            <w:r w:rsidRPr="004E69D2">
              <w:rPr>
                <w:rFonts w:ascii="Arial" w:eastAsia="Times" w:hAnsi="Arial" w:cs="Times New Roman"/>
                <w:b/>
              </w:rPr>
              <w:t>Thyroid surgery</w:t>
            </w:r>
          </w:p>
        </w:tc>
      </w:tr>
      <w:tr w:rsidR="004E69D2" w:rsidRPr="004E69D2" w14:paraId="465FB636" w14:textId="77777777" w:rsidTr="00A31156">
        <w:tc>
          <w:tcPr>
            <w:tcW w:w="6228" w:type="dxa"/>
            <w:tcBorders>
              <w:top w:val="single" w:sz="4" w:space="0" w:color="auto"/>
              <w:left w:val="single" w:sz="4" w:space="0" w:color="auto"/>
              <w:bottom w:val="single" w:sz="4" w:space="0" w:color="auto"/>
              <w:right w:val="single" w:sz="4" w:space="0" w:color="auto"/>
            </w:tcBorders>
            <w:hideMark/>
          </w:tcPr>
          <w:p w14:paraId="050EA572" w14:textId="77777777" w:rsidR="004E69D2" w:rsidRPr="004E69D2" w:rsidRDefault="004E69D2" w:rsidP="00C71DCD">
            <w:pPr>
              <w:spacing w:after="0" w:line="276" w:lineRule="auto"/>
              <w:outlineLvl w:val="0"/>
              <w:rPr>
                <w:rFonts w:ascii="Arial" w:eastAsia="Times" w:hAnsi="Arial" w:cs="Times New Roman"/>
                <w:b/>
              </w:rPr>
            </w:pPr>
            <w:r w:rsidRPr="004E69D2">
              <w:rPr>
                <w:rFonts w:ascii="Arial" w:eastAsia="Times" w:hAnsi="Arial" w:cs="Times New Roman"/>
                <w:b/>
              </w:rPr>
              <w:t>Iodide</w:t>
            </w:r>
          </w:p>
          <w:p w14:paraId="1DEDC9B4" w14:textId="77777777" w:rsidR="004E69D2" w:rsidRPr="004E69D2" w:rsidRDefault="004E69D2" w:rsidP="00C71DCD">
            <w:pPr>
              <w:spacing w:after="0" w:line="276" w:lineRule="auto"/>
              <w:outlineLvl w:val="0"/>
              <w:rPr>
                <w:rFonts w:ascii="Arial" w:eastAsia="Times" w:hAnsi="Arial" w:cs="Times New Roman"/>
              </w:rPr>
            </w:pPr>
            <w:r w:rsidRPr="004E69D2">
              <w:rPr>
                <w:rFonts w:ascii="Arial" w:eastAsia="Times" w:hAnsi="Arial" w:cs="Times New Roman"/>
              </w:rPr>
              <w:t>Saturated solution of potassium iodide: 1 drop bid</w:t>
            </w:r>
          </w:p>
        </w:tc>
      </w:tr>
      <w:tr w:rsidR="004E69D2" w:rsidRPr="004E69D2" w14:paraId="1035A258" w14:textId="77777777" w:rsidTr="00A31156">
        <w:tc>
          <w:tcPr>
            <w:tcW w:w="6228" w:type="dxa"/>
            <w:tcBorders>
              <w:top w:val="single" w:sz="4" w:space="0" w:color="auto"/>
              <w:left w:val="single" w:sz="4" w:space="0" w:color="auto"/>
              <w:bottom w:val="single" w:sz="4" w:space="0" w:color="auto"/>
              <w:right w:val="single" w:sz="4" w:space="0" w:color="auto"/>
            </w:tcBorders>
            <w:hideMark/>
          </w:tcPr>
          <w:p w14:paraId="60DE1BD1" w14:textId="77777777" w:rsidR="004E69D2" w:rsidRPr="004E69D2" w:rsidRDefault="004E69D2" w:rsidP="00C71DCD">
            <w:pPr>
              <w:spacing w:after="0" w:line="276" w:lineRule="auto"/>
              <w:outlineLvl w:val="0"/>
              <w:rPr>
                <w:rFonts w:ascii="Arial" w:eastAsia="Times" w:hAnsi="Arial" w:cs="Times New Roman"/>
                <w:b/>
              </w:rPr>
            </w:pPr>
            <w:proofErr w:type="spellStart"/>
            <w:r w:rsidRPr="004E69D2">
              <w:rPr>
                <w:rFonts w:ascii="Arial" w:eastAsia="Times" w:hAnsi="Arial" w:cs="Times New Roman"/>
                <w:b/>
              </w:rPr>
              <w:t>Antinflammatory</w:t>
            </w:r>
            <w:proofErr w:type="spellEnd"/>
            <w:r w:rsidRPr="004E69D2">
              <w:rPr>
                <w:rFonts w:ascii="Arial" w:eastAsia="Times" w:hAnsi="Arial" w:cs="Times New Roman"/>
                <w:b/>
              </w:rPr>
              <w:t xml:space="preserve"> agents</w:t>
            </w:r>
          </w:p>
          <w:p w14:paraId="43DE17D6" w14:textId="77777777" w:rsidR="004E69D2" w:rsidRPr="004E69D2" w:rsidRDefault="004E69D2" w:rsidP="00C71DCD">
            <w:pPr>
              <w:spacing w:after="0" w:line="276" w:lineRule="auto"/>
              <w:outlineLvl w:val="0"/>
              <w:rPr>
                <w:rFonts w:ascii="Arial" w:eastAsia="Times" w:hAnsi="Arial" w:cs="Times New Roman"/>
              </w:rPr>
            </w:pPr>
            <w:r w:rsidRPr="004E69D2">
              <w:rPr>
                <w:rFonts w:ascii="Arial" w:eastAsia="Times" w:hAnsi="Arial" w:cs="Times New Roman"/>
              </w:rPr>
              <w:t xml:space="preserve">Ibuprofen 400-800 mg </w:t>
            </w:r>
            <w:proofErr w:type="spellStart"/>
            <w:r w:rsidRPr="004E69D2">
              <w:rPr>
                <w:rFonts w:ascii="Arial" w:eastAsia="Times" w:hAnsi="Arial" w:cs="Times New Roman"/>
              </w:rPr>
              <w:t>tid</w:t>
            </w:r>
            <w:proofErr w:type="spellEnd"/>
          </w:p>
          <w:p w14:paraId="3A4550B2" w14:textId="77777777" w:rsidR="004E69D2" w:rsidRPr="004E69D2" w:rsidRDefault="004E69D2" w:rsidP="00C71DCD">
            <w:pPr>
              <w:spacing w:after="0" w:line="276" w:lineRule="auto"/>
              <w:outlineLvl w:val="0"/>
              <w:rPr>
                <w:rFonts w:ascii="Arial" w:eastAsia="Times" w:hAnsi="Arial" w:cs="Times New Roman"/>
              </w:rPr>
            </w:pPr>
            <w:r w:rsidRPr="004E69D2">
              <w:rPr>
                <w:rFonts w:ascii="Arial" w:eastAsia="Times" w:hAnsi="Arial" w:cs="Times New Roman"/>
              </w:rPr>
              <w:t>Prednisone 10-40 mg daily</w:t>
            </w:r>
          </w:p>
        </w:tc>
      </w:tr>
    </w:tbl>
    <w:p w14:paraId="206DB970" w14:textId="77777777" w:rsidR="004E69D2" w:rsidRPr="00F02DC6" w:rsidRDefault="004E69D2" w:rsidP="00C71DCD">
      <w:pPr>
        <w:spacing w:after="0" w:line="276" w:lineRule="auto"/>
        <w:outlineLvl w:val="0"/>
        <w:rPr>
          <w:rFonts w:ascii="Arial" w:hAnsi="Arial" w:cs="Arial"/>
        </w:rPr>
      </w:pPr>
    </w:p>
    <w:p w14:paraId="56769DCD" w14:textId="2C6FC0FA" w:rsidR="00F02DC6" w:rsidRPr="004E69D2" w:rsidRDefault="00F02DC6" w:rsidP="00C71DCD">
      <w:pPr>
        <w:spacing w:after="0" w:line="276" w:lineRule="auto"/>
        <w:outlineLvl w:val="0"/>
        <w:rPr>
          <w:rFonts w:ascii="Arial" w:hAnsi="Arial" w:cs="Arial"/>
          <w:b/>
          <w:bCs/>
          <w:color w:val="0070C0"/>
        </w:rPr>
      </w:pPr>
      <w:r w:rsidRPr="004E69D2">
        <w:rPr>
          <w:rFonts w:ascii="Arial" w:hAnsi="Arial" w:cs="Arial"/>
          <w:b/>
          <w:bCs/>
          <w:color w:val="0070C0"/>
        </w:rPr>
        <w:t>FOLLOW-UP</w:t>
      </w:r>
    </w:p>
    <w:p w14:paraId="6FA7D53F" w14:textId="77777777" w:rsidR="004E69D2" w:rsidRDefault="004E69D2" w:rsidP="00C71DCD">
      <w:pPr>
        <w:spacing w:after="0" w:line="276" w:lineRule="auto"/>
        <w:outlineLvl w:val="0"/>
        <w:rPr>
          <w:rFonts w:ascii="Arial" w:hAnsi="Arial" w:cs="Arial"/>
        </w:rPr>
      </w:pPr>
    </w:p>
    <w:p w14:paraId="1F90A714" w14:textId="3D3D31AF" w:rsidR="00F02DC6" w:rsidRPr="00F02DC6" w:rsidRDefault="00F02DC6" w:rsidP="00C71DCD">
      <w:pPr>
        <w:spacing w:after="0" w:line="276" w:lineRule="auto"/>
        <w:outlineLvl w:val="0"/>
        <w:rPr>
          <w:rFonts w:ascii="Arial" w:hAnsi="Arial" w:cs="Arial"/>
        </w:rPr>
      </w:pPr>
      <w:r w:rsidRPr="00F02DC6">
        <w:rPr>
          <w:rFonts w:ascii="Arial" w:hAnsi="Arial" w:cs="Arial"/>
        </w:rPr>
        <w:t xml:space="preserve">Serial profiles of thyroid function tests including TSH, free or total T4, and total T3 levels should be followed at regular </w:t>
      </w:r>
      <w:proofErr w:type="gramStart"/>
      <w:r w:rsidRPr="00F02DC6">
        <w:rPr>
          <w:rFonts w:ascii="Arial" w:hAnsi="Arial" w:cs="Arial"/>
        </w:rPr>
        <w:t>2-4 week</w:t>
      </w:r>
      <w:proofErr w:type="gramEnd"/>
      <w:r w:rsidRPr="00F02DC6">
        <w:rPr>
          <w:rFonts w:ascii="Arial" w:hAnsi="Arial" w:cs="Arial"/>
        </w:rPr>
        <w:t xml:space="preserve"> intervals when treating and monitoring thyrotoxic disorders. In cases of treated hyperthyroidism, suppression of the TSH level may persist for several weeks after thyroid hormone levels have been brought under control. Treatment of post-ablative or post-surgical hypothyroidism with levothyroxine should be considered once T4 and T3 levels drop to low normal or subnormal ranges.</w:t>
      </w:r>
    </w:p>
    <w:p w14:paraId="0B66696F" w14:textId="77777777" w:rsidR="00F02DC6" w:rsidRPr="00F02DC6" w:rsidRDefault="00F02DC6" w:rsidP="00C71DCD">
      <w:pPr>
        <w:spacing w:after="0" w:line="276" w:lineRule="auto"/>
        <w:outlineLvl w:val="0"/>
        <w:rPr>
          <w:rFonts w:ascii="Arial" w:hAnsi="Arial" w:cs="Arial"/>
        </w:rPr>
      </w:pPr>
    </w:p>
    <w:p w14:paraId="3613F3FF" w14:textId="77777777" w:rsidR="00F02DC6" w:rsidRPr="00BD1896" w:rsidRDefault="00F02DC6" w:rsidP="00C71DCD">
      <w:pPr>
        <w:spacing w:after="0" w:line="276" w:lineRule="auto"/>
        <w:outlineLvl w:val="0"/>
        <w:rPr>
          <w:rFonts w:ascii="Arial" w:hAnsi="Arial" w:cs="Arial"/>
          <w:b/>
          <w:bCs/>
          <w:color w:val="0070C0"/>
        </w:rPr>
      </w:pPr>
      <w:r w:rsidRPr="00BD1896">
        <w:rPr>
          <w:rFonts w:ascii="Arial" w:hAnsi="Arial" w:cs="Arial"/>
          <w:b/>
          <w:bCs/>
          <w:color w:val="0070C0"/>
        </w:rPr>
        <w:t>GUIDELINES</w:t>
      </w:r>
    </w:p>
    <w:p w14:paraId="6C2D12F3" w14:textId="77777777" w:rsidR="00BD1896" w:rsidRDefault="00BD1896" w:rsidP="00C71DCD">
      <w:pPr>
        <w:spacing w:after="0" w:line="276" w:lineRule="auto"/>
        <w:outlineLvl w:val="0"/>
        <w:rPr>
          <w:rFonts w:ascii="Arial" w:hAnsi="Arial" w:cs="Arial"/>
        </w:rPr>
      </w:pPr>
    </w:p>
    <w:p w14:paraId="67FCA042" w14:textId="7DD03488" w:rsidR="00D967CA" w:rsidRPr="00D967CA" w:rsidRDefault="00D967CA" w:rsidP="00C71DCD">
      <w:pPr>
        <w:spacing w:after="0" w:line="276" w:lineRule="auto"/>
        <w:outlineLvl w:val="0"/>
        <w:rPr>
          <w:rFonts w:ascii="Arial" w:hAnsi="Arial" w:cs="Arial"/>
        </w:rPr>
      </w:pPr>
      <w:r w:rsidRPr="00D967CA">
        <w:rPr>
          <w:rFonts w:ascii="Arial" w:hAnsi="Arial" w:cs="Arial"/>
        </w:rPr>
        <w:t>2016 American Thyroid Association Guidelines for Diagnosis and Management of Hyperthyroidism and Other Causes of Thyrotoxicosis.</w:t>
      </w:r>
      <w:r>
        <w:rPr>
          <w:rFonts w:ascii="Arial" w:hAnsi="Arial" w:cs="Arial"/>
        </w:rPr>
        <w:t xml:space="preserve"> </w:t>
      </w:r>
      <w:r w:rsidRPr="00D967CA">
        <w:rPr>
          <w:rFonts w:ascii="Arial" w:hAnsi="Arial" w:cs="Arial"/>
        </w:rPr>
        <w:t>Ross DS, Burch HB, Cooper DS, Greenlee MC, Laurberg P, Maia AL, Rivkees SA, Samuels M, Sosa JA, Stan MN, Walter MA.</w:t>
      </w:r>
    </w:p>
    <w:p w14:paraId="0F646641" w14:textId="619CE48F" w:rsidR="00F02DC6" w:rsidRPr="00F02DC6" w:rsidRDefault="00D967CA" w:rsidP="00C71DCD">
      <w:pPr>
        <w:spacing w:after="0" w:line="276" w:lineRule="auto"/>
        <w:outlineLvl w:val="0"/>
        <w:rPr>
          <w:rFonts w:ascii="Arial" w:hAnsi="Arial" w:cs="Arial"/>
        </w:rPr>
      </w:pPr>
      <w:r w:rsidRPr="00D967CA">
        <w:rPr>
          <w:rFonts w:ascii="Arial" w:hAnsi="Arial" w:cs="Arial"/>
        </w:rPr>
        <w:t>Thyroid. 2016 Oct;26(10):1343-1421.</w:t>
      </w:r>
    </w:p>
    <w:p w14:paraId="22723D22" w14:textId="77777777" w:rsidR="00D967CA" w:rsidRDefault="00D967CA" w:rsidP="00C71DCD">
      <w:pPr>
        <w:spacing w:after="0" w:line="276" w:lineRule="auto"/>
        <w:outlineLvl w:val="0"/>
        <w:rPr>
          <w:rFonts w:ascii="Arial" w:hAnsi="Arial" w:cs="Arial"/>
          <w:b/>
          <w:bCs/>
          <w:color w:val="0070C0"/>
        </w:rPr>
      </w:pPr>
    </w:p>
    <w:p w14:paraId="14A3F81A" w14:textId="5AF920F5" w:rsidR="00F02DC6" w:rsidRPr="00BD1896" w:rsidRDefault="00F02DC6" w:rsidP="00C71DCD">
      <w:pPr>
        <w:spacing w:after="0" w:line="276" w:lineRule="auto"/>
        <w:outlineLvl w:val="0"/>
        <w:rPr>
          <w:rFonts w:ascii="Arial" w:hAnsi="Arial" w:cs="Arial"/>
          <w:b/>
          <w:bCs/>
          <w:color w:val="0070C0"/>
        </w:rPr>
      </w:pPr>
      <w:r w:rsidRPr="00BD1896">
        <w:rPr>
          <w:rFonts w:ascii="Arial" w:hAnsi="Arial" w:cs="Arial"/>
          <w:b/>
          <w:bCs/>
          <w:color w:val="0070C0"/>
        </w:rPr>
        <w:t>REFERENCES</w:t>
      </w:r>
    </w:p>
    <w:p w14:paraId="73D5575D" w14:textId="77777777" w:rsidR="00BD1896" w:rsidRDefault="00BD1896" w:rsidP="00C71DCD">
      <w:pPr>
        <w:spacing w:after="0" w:line="276" w:lineRule="auto"/>
        <w:outlineLvl w:val="0"/>
        <w:rPr>
          <w:rFonts w:ascii="Arial" w:hAnsi="Arial" w:cs="Arial"/>
        </w:rPr>
      </w:pPr>
    </w:p>
    <w:p w14:paraId="4EED0C58" w14:textId="70C0F752" w:rsidR="00BD1896" w:rsidRDefault="00D967CA" w:rsidP="00C71DCD">
      <w:pPr>
        <w:spacing w:after="0" w:line="276" w:lineRule="auto"/>
        <w:outlineLvl w:val="0"/>
        <w:rPr>
          <w:rFonts w:ascii="Arial" w:hAnsi="Arial" w:cs="Arial"/>
        </w:rPr>
      </w:pPr>
      <w:r w:rsidRPr="00D967CA">
        <w:rPr>
          <w:rFonts w:ascii="Arial" w:hAnsi="Arial" w:cs="Arial"/>
        </w:rPr>
        <w:t>Samuels MH.</w:t>
      </w:r>
      <w:r>
        <w:rPr>
          <w:rFonts w:ascii="Arial" w:hAnsi="Arial" w:cs="Arial"/>
        </w:rPr>
        <w:t xml:space="preserve"> </w:t>
      </w:r>
      <w:r w:rsidRPr="00D967CA">
        <w:rPr>
          <w:rFonts w:ascii="Arial" w:hAnsi="Arial" w:cs="Arial"/>
        </w:rPr>
        <w:t>Hyperthyroidism in Aging.</w:t>
      </w:r>
      <w:r>
        <w:rPr>
          <w:rFonts w:ascii="Arial" w:hAnsi="Arial" w:cs="Arial"/>
        </w:rPr>
        <w:t xml:space="preserve"> </w:t>
      </w:r>
      <w:r w:rsidRPr="00D967CA">
        <w:rPr>
          <w:rFonts w:ascii="Arial" w:hAnsi="Arial" w:cs="Arial"/>
        </w:rPr>
        <w:t xml:space="preserve">2021 Aug 9. In: Feingold KR, Anawalt B, Boyce A, Chrousos G, de Herder WW, </w:t>
      </w:r>
      <w:proofErr w:type="spellStart"/>
      <w:r w:rsidRPr="00D967CA">
        <w:rPr>
          <w:rFonts w:ascii="Arial" w:hAnsi="Arial" w:cs="Arial"/>
        </w:rPr>
        <w:t>Dhatariya</w:t>
      </w:r>
      <w:proofErr w:type="spellEnd"/>
      <w:r w:rsidRPr="00D967CA">
        <w:rPr>
          <w:rFonts w:ascii="Arial" w:hAnsi="Arial" w:cs="Arial"/>
        </w:rPr>
        <w:t xml:space="preserve"> K, Dungan K, Hershman JM, Hofland J, Kalra S, Kaltsas G, Koch C, Kopp P, Korbonits M, Kovacs CS, </w:t>
      </w:r>
      <w:proofErr w:type="spellStart"/>
      <w:r w:rsidRPr="00D967CA">
        <w:rPr>
          <w:rFonts w:ascii="Arial" w:hAnsi="Arial" w:cs="Arial"/>
        </w:rPr>
        <w:t>Kuohung</w:t>
      </w:r>
      <w:proofErr w:type="spellEnd"/>
      <w:r w:rsidRPr="00D967CA">
        <w:rPr>
          <w:rFonts w:ascii="Arial" w:hAnsi="Arial" w:cs="Arial"/>
        </w:rPr>
        <w:t xml:space="preserve"> W, </w:t>
      </w:r>
      <w:proofErr w:type="spellStart"/>
      <w:r w:rsidRPr="00D967CA">
        <w:rPr>
          <w:rFonts w:ascii="Arial" w:hAnsi="Arial" w:cs="Arial"/>
        </w:rPr>
        <w:t>Laferrère</w:t>
      </w:r>
      <w:proofErr w:type="spellEnd"/>
      <w:r w:rsidRPr="00D967CA">
        <w:rPr>
          <w:rFonts w:ascii="Arial" w:hAnsi="Arial" w:cs="Arial"/>
        </w:rPr>
        <w:t xml:space="preserve"> B, Levy M, McGee EA, McLachlan R, Morley JE, New M, Purnell J, Sahay R, Singer F, Sperling MA, Stratakis CA, Trence DL, Wilson DP, editors. Endotext [Internet]. South Dartmouth (MA): MDText.com, Inc.; 2000–.</w:t>
      </w:r>
    </w:p>
    <w:p w14:paraId="373F0F8F" w14:textId="0944A9A2" w:rsidR="00D967CA" w:rsidRDefault="00D967CA" w:rsidP="00C71DCD">
      <w:pPr>
        <w:spacing w:after="0" w:line="276" w:lineRule="auto"/>
        <w:outlineLvl w:val="0"/>
        <w:rPr>
          <w:rFonts w:ascii="Arial" w:hAnsi="Arial" w:cs="Arial"/>
        </w:rPr>
      </w:pPr>
    </w:p>
    <w:p w14:paraId="2A2C66AC" w14:textId="0A0B834B" w:rsidR="00D967CA" w:rsidRDefault="00D967CA" w:rsidP="00C71DCD">
      <w:pPr>
        <w:spacing w:after="0" w:line="276" w:lineRule="auto"/>
        <w:outlineLvl w:val="0"/>
        <w:rPr>
          <w:rFonts w:ascii="Arial" w:hAnsi="Arial" w:cs="Arial"/>
        </w:rPr>
      </w:pPr>
      <w:r w:rsidRPr="00D967CA">
        <w:rPr>
          <w:rFonts w:ascii="Arial" w:hAnsi="Arial" w:cs="Arial"/>
        </w:rPr>
        <w:t>DeGroot LJ.</w:t>
      </w:r>
      <w:r>
        <w:rPr>
          <w:rFonts w:ascii="Arial" w:hAnsi="Arial" w:cs="Arial"/>
        </w:rPr>
        <w:t xml:space="preserve"> </w:t>
      </w:r>
      <w:r w:rsidRPr="00D967CA">
        <w:rPr>
          <w:rFonts w:ascii="Arial" w:hAnsi="Arial" w:cs="Arial"/>
        </w:rPr>
        <w:t>Diagnosis and Treatment of Graves’ Disease.</w:t>
      </w:r>
      <w:r>
        <w:rPr>
          <w:rFonts w:ascii="Arial" w:hAnsi="Arial" w:cs="Arial"/>
        </w:rPr>
        <w:t xml:space="preserve"> </w:t>
      </w:r>
      <w:r w:rsidRPr="00D967CA">
        <w:rPr>
          <w:rFonts w:ascii="Arial" w:hAnsi="Arial" w:cs="Arial"/>
        </w:rPr>
        <w:t xml:space="preserve">2016 Nov 2. In: Feingold KR, Anawalt B, Boyce A, Chrousos G, de Herder WW, </w:t>
      </w:r>
      <w:proofErr w:type="spellStart"/>
      <w:r w:rsidRPr="00D967CA">
        <w:rPr>
          <w:rFonts w:ascii="Arial" w:hAnsi="Arial" w:cs="Arial"/>
        </w:rPr>
        <w:t>Dhatariya</w:t>
      </w:r>
      <w:proofErr w:type="spellEnd"/>
      <w:r w:rsidRPr="00D967CA">
        <w:rPr>
          <w:rFonts w:ascii="Arial" w:hAnsi="Arial" w:cs="Arial"/>
        </w:rPr>
        <w:t xml:space="preserve"> K, Dungan K, Hershman JM, </w:t>
      </w:r>
      <w:r w:rsidRPr="00D967CA">
        <w:rPr>
          <w:rFonts w:ascii="Arial" w:hAnsi="Arial" w:cs="Arial"/>
        </w:rPr>
        <w:lastRenderedPageBreak/>
        <w:t xml:space="preserve">Hofland J, Kalra S, Kaltsas G, Koch C, Kopp P, Korbonits M, Kovacs CS, </w:t>
      </w:r>
      <w:proofErr w:type="spellStart"/>
      <w:r w:rsidRPr="00D967CA">
        <w:rPr>
          <w:rFonts w:ascii="Arial" w:hAnsi="Arial" w:cs="Arial"/>
        </w:rPr>
        <w:t>Kuohung</w:t>
      </w:r>
      <w:proofErr w:type="spellEnd"/>
      <w:r w:rsidRPr="00D967CA">
        <w:rPr>
          <w:rFonts w:ascii="Arial" w:hAnsi="Arial" w:cs="Arial"/>
        </w:rPr>
        <w:t xml:space="preserve"> W, </w:t>
      </w:r>
      <w:proofErr w:type="spellStart"/>
      <w:r w:rsidRPr="00D967CA">
        <w:rPr>
          <w:rFonts w:ascii="Arial" w:hAnsi="Arial" w:cs="Arial"/>
        </w:rPr>
        <w:t>Laferrère</w:t>
      </w:r>
      <w:proofErr w:type="spellEnd"/>
      <w:r w:rsidRPr="00D967CA">
        <w:rPr>
          <w:rFonts w:ascii="Arial" w:hAnsi="Arial" w:cs="Arial"/>
        </w:rPr>
        <w:t xml:space="preserve"> B, Levy M, McGee EA, McLachlan R, Morley JE, New M, Purnell J, Sahay R, Singer F, Sperling MA, Stratakis CA, Trence DL, Wilson DP, editors. Endotext [Internet]. South Dartmouth (MA): MDText.com, Inc.; 2000–.</w:t>
      </w:r>
    </w:p>
    <w:p w14:paraId="41C30769" w14:textId="77777777" w:rsidR="00BD1896" w:rsidRDefault="00BD1896" w:rsidP="00C71DCD">
      <w:pPr>
        <w:spacing w:after="0" w:line="276" w:lineRule="auto"/>
        <w:outlineLvl w:val="0"/>
        <w:rPr>
          <w:rFonts w:ascii="Arial" w:hAnsi="Arial" w:cs="Arial"/>
        </w:rPr>
      </w:pPr>
    </w:p>
    <w:p w14:paraId="0A267369" w14:textId="52CDE742" w:rsidR="00BD1896" w:rsidRDefault="00D967CA" w:rsidP="00C71DCD">
      <w:pPr>
        <w:spacing w:after="0" w:line="276" w:lineRule="auto"/>
        <w:outlineLvl w:val="0"/>
        <w:rPr>
          <w:rFonts w:ascii="Arial" w:hAnsi="Arial" w:cs="Arial"/>
        </w:rPr>
      </w:pPr>
      <w:r w:rsidRPr="00D967CA">
        <w:rPr>
          <w:rFonts w:ascii="Arial" w:hAnsi="Arial" w:cs="Arial"/>
        </w:rPr>
        <w:t>Bartalena L.</w:t>
      </w:r>
      <w:r>
        <w:rPr>
          <w:rFonts w:ascii="Arial" w:hAnsi="Arial" w:cs="Arial"/>
        </w:rPr>
        <w:t xml:space="preserve"> </w:t>
      </w:r>
      <w:r w:rsidRPr="00D967CA">
        <w:rPr>
          <w:rFonts w:ascii="Arial" w:hAnsi="Arial" w:cs="Arial"/>
        </w:rPr>
        <w:t>Graves’ Disease: Complications.</w:t>
      </w:r>
      <w:r>
        <w:rPr>
          <w:rFonts w:ascii="Arial" w:hAnsi="Arial" w:cs="Arial"/>
        </w:rPr>
        <w:t xml:space="preserve"> </w:t>
      </w:r>
      <w:r w:rsidRPr="00D967CA">
        <w:rPr>
          <w:rFonts w:ascii="Arial" w:hAnsi="Arial" w:cs="Arial"/>
        </w:rPr>
        <w:t xml:space="preserve">2018 Feb 20. In: Feingold KR, Anawalt B, Boyce A, Chrousos G, de Herder WW, </w:t>
      </w:r>
      <w:proofErr w:type="spellStart"/>
      <w:r w:rsidRPr="00D967CA">
        <w:rPr>
          <w:rFonts w:ascii="Arial" w:hAnsi="Arial" w:cs="Arial"/>
        </w:rPr>
        <w:t>Dhatariya</w:t>
      </w:r>
      <w:proofErr w:type="spellEnd"/>
      <w:r w:rsidRPr="00D967CA">
        <w:rPr>
          <w:rFonts w:ascii="Arial" w:hAnsi="Arial" w:cs="Arial"/>
        </w:rPr>
        <w:t xml:space="preserve"> K, Dungan K, Hershman JM, Hofland J, Kalra S, Kaltsas G, Koch C, Kopp P, Korbonits M, Kovacs CS, </w:t>
      </w:r>
      <w:proofErr w:type="spellStart"/>
      <w:r w:rsidRPr="00D967CA">
        <w:rPr>
          <w:rFonts w:ascii="Arial" w:hAnsi="Arial" w:cs="Arial"/>
        </w:rPr>
        <w:t>Kuohung</w:t>
      </w:r>
      <w:proofErr w:type="spellEnd"/>
      <w:r w:rsidRPr="00D967CA">
        <w:rPr>
          <w:rFonts w:ascii="Arial" w:hAnsi="Arial" w:cs="Arial"/>
        </w:rPr>
        <w:t xml:space="preserve"> W, </w:t>
      </w:r>
      <w:proofErr w:type="spellStart"/>
      <w:r w:rsidRPr="00D967CA">
        <w:rPr>
          <w:rFonts w:ascii="Arial" w:hAnsi="Arial" w:cs="Arial"/>
        </w:rPr>
        <w:t>Laferrère</w:t>
      </w:r>
      <w:proofErr w:type="spellEnd"/>
      <w:r w:rsidRPr="00D967CA">
        <w:rPr>
          <w:rFonts w:ascii="Arial" w:hAnsi="Arial" w:cs="Arial"/>
        </w:rPr>
        <w:t xml:space="preserve"> B, Levy M, McGee EA, McLachlan R, Morley JE, New M, Purnell J, Sahay R, Singer F, Sperling MA, Stratakis CA, Trence DL, Wilson DP, editors. Endotext [Internet]. South Dartmouth (MA): MDText.com, Inc.; 2000–.</w:t>
      </w:r>
    </w:p>
    <w:p w14:paraId="402DBF38" w14:textId="77777777" w:rsidR="00D967CA" w:rsidRDefault="00D967CA" w:rsidP="00C71DCD">
      <w:pPr>
        <w:spacing w:after="0" w:line="276" w:lineRule="auto"/>
        <w:outlineLvl w:val="0"/>
        <w:rPr>
          <w:rFonts w:ascii="Arial" w:hAnsi="Arial" w:cs="Arial"/>
        </w:rPr>
      </w:pPr>
    </w:p>
    <w:p w14:paraId="57D3235C" w14:textId="4634521A" w:rsidR="00BD1896" w:rsidRDefault="00F56FE2" w:rsidP="00C71DCD">
      <w:pPr>
        <w:spacing w:after="0" w:line="276" w:lineRule="auto"/>
        <w:outlineLvl w:val="0"/>
        <w:rPr>
          <w:rFonts w:ascii="Arial" w:hAnsi="Arial" w:cs="Arial"/>
        </w:rPr>
      </w:pPr>
      <w:r w:rsidRPr="00F56FE2">
        <w:rPr>
          <w:rFonts w:ascii="Arial" w:hAnsi="Arial" w:cs="Arial"/>
        </w:rPr>
        <w:t>Kopp P.</w:t>
      </w:r>
      <w:r>
        <w:rPr>
          <w:rFonts w:ascii="Arial" w:hAnsi="Arial" w:cs="Arial"/>
        </w:rPr>
        <w:t xml:space="preserve"> </w:t>
      </w:r>
      <w:r w:rsidRPr="00F56FE2">
        <w:rPr>
          <w:rFonts w:ascii="Arial" w:hAnsi="Arial" w:cs="Arial"/>
        </w:rPr>
        <w:t>Thyrotoxicosis of other Etiologies.</w:t>
      </w:r>
      <w:r>
        <w:rPr>
          <w:rFonts w:ascii="Arial" w:hAnsi="Arial" w:cs="Arial"/>
        </w:rPr>
        <w:t xml:space="preserve"> </w:t>
      </w:r>
      <w:r w:rsidRPr="00F56FE2">
        <w:rPr>
          <w:rFonts w:ascii="Arial" w:hAnsi="Arial" w:cs="Arial"/>
        </w:rPr>
        <w:t xml:space="preserve">2010 Dec 1. In: Feingold KR, Anawalt B, Boyce A, Chrousos G, de Herder WW, </w:t>
      </w:r>
      <w:proofErr w:type="spellStart"/>
      <w:r w:rsidRPr="00F56FE2">
        <w:rPr>
          <w:rFonts w:ascii="Arial" w:hAnsi="Arial" w:cs="Arial"/>
        </w:rPr>
        <w:t>Dhatariya</w:t>
      </w:r>
      <w:proofErr w:type="spellEnd"/>
      <w:r w:rsidRPr="00F56FE2">
        <w:rPr>
          <w:rFonts w:ascii="Arial" w:hAnsi="Arial" w:cs="Arial"/>
        </w:rPr>
        <w:t xml:space="preserve"> K, Dungan K, Hershman JM, Hofland J, Kalra S, Kaltsas G, Koch C, Kopp P, Korbonits M, Kovacs CS, </w:t>
      </w:r>
      <w:proofErr w:type="spellStart"/>
      <w:r w:rsidRPr="00F56FE2">
        <w:rPr>
          <w:rFonts w:ascii="Arial" w:hAnsi="Arial" w:cs="Arial"/>
        </w:rPr>
        <w:t>Kuohung</w:t>
      </w:r>
      <w:proofErr w:type="spellEnd"/>
      <w:r w:rsidRPr="00F56FE2">
        <w:rPr>
          <w:rFonts w:ascii="Arial" w:hAnsi="Arial" w:cs="Arial"/>
        </w:rPr>
        <w:t xml:space="preserve"> W, </w:t>
      </w:r>
      <w:proofErr w:type="spellStart"/>
      <w:r w:rsidRPr="00F56FE2">
        <w:rPr>
          <w:rFonts w:ascii="Arial" w:hAnsi="Arial" w:cs="Arial"/>
        </w:rPr>
        <w:t>Laferrère</w:t>
      </w:r>
      <w:proofErr w:type="spellEnd"/>
      <w:r w:rsidRPr="00F56FE2">
        <w:rPr>
          <w:rFonts w:ascii="Arial" w:hAnsi="Arial" w:cs="Arial"/>
        </w:rPr>
        <w:t xml:space="preserve"> B, Levy M, McGee EA, McLachlan R, Morley JE, New M, Purnell J, Sahay R, Singer F, Sperling MA, Stratakis CA, Trence DL, Wilson DP, editors. Endotext [Internet]. South Dartmouth (MA): MDText.com, Inc.; 2000–.</w:t>
      </w:r>
    </w:p>
    <w:p w14:paraId="6262D67E" w14:textId="3A10D27D" w:rsidR="00F56FE2" w:rsidRDefault="00F56FE2" w:rsidP="00C71DCD">
      <w:pPr>
        <w:spacing w:after="0" w:line="276" w:lineRule="auto"/>
        <w:outlineLvl w:val="0"/>
        <w:rPr>
          <w:rFonts w:ascii="Arial" w:hAnsi="Arial" w:cs="Arial"/>
        </w:rPr>
      </w:pPr>
    </w:p>
    <w:p w14:paraId="3267D37D" w14:textId="6A61FC51" w:rsidR="00F56FE2" w:rsidRDefault="00F56FE2" w:rsidP="00C71DCD">
      <w:pPr>
        <w:spacing w:after="0" w:line="276" w:lineRule="auto"/>
        <w:outlineLvl w:val="0"/>
        <w:rPr>
          <w:rFonts w:ascii="Arial" w:hAnsi="Arial" w:cs="Arial"/>
        </w:rPr>
      </w:pPr>
      <w:r w:rsidRPr="00F56FE2">
        <w:rPr>
          <w:rFonts w:ascii="Arial" w:hAnsi="Arial" w:cs="Arial"/>
        </w:rPr>
        <w:t>Macchia PE, Feingold KR.</w:t>
      </w:r>
      <w:r>
        <w:rPr>
          <w:rFonts w:ascii="Arial" w:hAnsi="Arial" w:cs="Arial"/>
        </w:rPr>
        <w:t xml:space="preserve"> </w:t>
      </w:r>
      <w:r w:rsidRPr="00F56FE2">
        <w:rPr>
          <w:rFonts w:ascii="Arial" w:hAnsi="Arial" w:cs="Arial"/>
        </w:rPr>
        <w:t>Amiodarone Induced Thyrotoxicosis.</w:t>
      </w:r>
      <w:r>
        <w:rPr>
          <w:rFonts w:ascii="Arial" w:hAnsi="Arial" w:cs="Arial"/>
        </w:rPr>
        <w:t xml:space="preserve"> </w:t>
      </w:r>
      <w:r w:rsidRPr="00F56FE2">
        <w:rPr>
          <w:rFonts w:ascii="Arial" w:hAnsi="Arial" w:cs="Arial"/>
        </w:rPr>
        <w:t xml:space="preserve">2018 Dec 24. In: Feingold KR, Anawalt B, Boyce A, Chrousos G, de Herder WW, </w:t>
      </w:r>
      <w:proofErr w:type="spellStart"/>
      <w:r w:rsidRPr="00F56FE2">
        <w:rPr>
          <w:rFonts w:ascii="Arial" w:hAnsi="Arial" w:cs="Arial"/>
        </w:rPr>
        <w:t>Dhatariya</w:t>
      </w:r>
      <w:proofErr w:type="spellEnd"/>
      <w:r w:rsidRPr="00F56FE2">
        <w:rPr>
          <w:rFonts w:ascii="Arial" w:hAnsi="Arial" w:cs="Arial"/>
        </w:rPr>
        <w:t xml:space="preserve"> K, Dungan K, Hershman JM, Hofland J, Kalra S, Kaltsas G, Koch C, Kopp P, Korbonits M, Kovacs CS, </w:t>
      </w:r>
      <w:proofErr w:type="spellStart"/>
      <w:r w:rsidRPr="00F56FE2">
        <w:rPr>
          <w:rFonts w:ascii="Arial" w:hAnsi="Arial" w:cs="Arial"/>
        </w:rPr>
        <w:t>Kuohung</w:t>
      </w:r>
      <w:proofErr w:type="spellEnd"/>
      <w:r w:rsidRPr="00F56FE2">
        <w:rPr>
          <w:rFonts w:ascii="Arial" w:hAnsi="Arial" w:cs="Arial"/>
        </w:rPr>
        <w:t xml:space="preserve"> W, </w:t>
      </w:r>
      <w:proofErr w:type="spellStart"/>
      <w:r w:rsidRPr="00F56FE2">
        <w:rPr>
          <w:rFonts w:ascii="Arial" w:hAnsi="Arial" w:cs="Arial"/>
        </w:rPr>
        <w:t>Laferrère</w:t>
      </w:r>
      <w:proofErr w:type="spellEnd"/>
      <w:r w:rsidRPr="00F56FE2">
        <w:rPr>
          <w:rFonts w:ascii="Arial" w:hAnsi="Arial" w:cs="Arial"/>
        </w:rPr>
        <w:t xml:space="preserve"> B, Levy M, McGee EA, McLachlan R, Morley JE, New M, Purnell J, Sahay R, Singer F, Sperling MA, Stratakis CA, Trence DL, Wilson DP, editors. Endotext [Internet]. South Dartmouth (MA): MDText.com, Inc.; 2000–.</w:t>
      </w:r>
    </w:p>
    <w:sectPr w:rsidR="00F56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DC6"/>
    <w:rsid w:val="003429D5"/>
    <w:rsid w:val="00360947"/>
    <w:rsid w:val="00460658"/>
    <w:rsid w:val="004E69D2"/>
    <w:rsid w:val="00BD1896"/>
    <w:rsid w:val="00C0521F"/>
    <w:rsid w:val="00C71DCD"/>
    <w:rsid w:val="00D967CA"/>
    <w:rsid w:val="00DB0331"/>
    <w:rsid w:val="00E3449F"/>
    <w:rsid w:val="00F02DC6"/>
    <w:rsid w:val="00F56FE2"/>
    <w:rsid w:val="00FA5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200E"/>
  <w15:chartTrackingRefBased/>
  <w15:docId w15:val="{1B75977E-D887-41DD-8F60-CF3EDC3C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autoRedefine/>
    <w:qFormat/>
    <w:rsid w:val="00FA5F1B"/>
    <w:pPr>
      <w:spacing w:after="0" w:line="276" w:lineRule="auto"/>
      <w:outlineLvl w:val="4"/>
    </w:pPr>
    <w:rPr>
      <w:rFonts w:ascii="Arial" w:eastAsia="Times" w:hAnsi="Arial"/>
      <w:i/>
      <w:color w:val="FFC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A5F1B"/>
    <w:rPr>
      <w:rFonts w:ascii="Arial" w:eastAsia="Times" w:hAnsi="Arial"/>
      <w:i/>
      <w:color w:val="FFC000"/>
    </w:rPr>
  </w:style>
  <w:style w:type="paragraph" w:customStyle="1" w:styleId="Figuregraphic">
    <w:name w:val="Figure graphic"/>
    <w:basedOn w:val="Normal"/>
    <w:autoRedefine/>
    <w:rsid w:val="00360947"/>
    <w:pPr>
      <w:autoSpaceDE w:val="0"/>
      <w:autoSpaceDN w:val="0"/>
      <w:adjustRightInd w:val="0"/>
      <w:spacing w:after="120" w:line="240" w:lineRule="auto"/>
    </w:pPr>
    <w:rPr>
      <w:rFonts w:ascii="Arial" w:eastAsia="Times New Roman" w:hAnsi="Arial"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867482">
      <w:bodyDiv w:val="1"/>
      <w:marLeft w:val="0"/>
      <w:marRight w:val="0"/>
      <w:marTop w:val="0"/>
      <w:marBottom w:val="0"/>
      <w:divBdr>
        <w:top w:val="none" w:sz="0" w:space="0" w:color="auto"/>
        <w:left w:val="none" w:sz="0" w:space="0" w:color="auto"/>
        <w:bottom w:val="none" w:sz="0" w:space="0" w:color="auto"/>
        <w:right w:val="none" w:sz="0" w:space="0" w:color="auto"/>
      </w:divBdr>
      <w:divsChild>
        <w:div w:id="1929268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Feingold</dc:creator>
  <cp:keywords/>
  <dc:description/>
  <cp:lastModifiedBy>Kenneth Feingold</cp:lastModifiedBy>
  <cp:revision>3</cp:revision>
  <dcterms:created xsi:type="dcterms:W3CDTF">2022-05-11T19:39:00Z</dcterms:created>
  <dcterms:modified xsi:type="dcterms:W3CDTF">2022-06-01T01:33:00Z</dcterms:modified>
</cp:coreProperties>
</file>