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59AD" w14:textId="06DFDBB5" w:rsidR="006F1B65" w:rsidRPr="001D2ADB" w:rsidRDefault="00A5659E" w:rsidP="00C22CD7">
      <w:pPr>
        <w:spacing w:after="0"/>
        <w:rPr>
          <w:rFonts w:ascii="Arial" w:hAnsi="Arial" w:cs="Arial"/>
          <w:b/>
          <w:bCs/>
          <w:sz w:val="28"/>
          <w:szCs w:val="28"/>
        </w:rPr>
      </w:pPr>
      <w:bookmarkStart w:id="0" w:name="_Hlk151750039"/>
      <w:r w:rsidRPr="001D2ADB">
        <w:rPr>
          <w:rFonts w:ascii="Arial" w:hAnsi="Arial" w:cs="Arial"/>
          <w:b/>
          <w:bCs/>
          <w:sz w:val="28"/>
          <w:szCs w:val="28"/>
        </w:rPr>
        <w:t>U</w:t>
      </w:r>
      <w:r w:rsidR="00C22CD7" w:rsidRPr="001D2ADB">
        <w:rPr>
          <w:rFonts w:ascii="Arial" w:hAnsi="Arial" w:cs="Arial"/>
          <w:b/>
          <w:bCs/>
          <w:sz w:val="28"/>
          <w:szCs w:val="28"/>
        </w:rPr>
        <w:t xml:space="preserve">SE OF LIPID LOWERING MEDICATIONS IN YOUTH </w:t>
      </w:r>
    </w:p>
    <w:bookmarkEnd w:id="0"/>
    <w:p w14:paraId="5D69A760" w14:textId="77777777" w:rsidR="00C22CD7" w:rsidRPr="00A90BAF" w:rsidRDefault="00C22CD7" w:rsidP="00C22CD7">
      <w:pPr>
        <w:spacing w:after="0"/>
        <w:rPr>
          <w:rFonts w:ascii="Arial" w:hAnsi="Arial" w:cs="Arial"/>
        </w:rPr>
      </w:pPr>
    </w:p>
    <w:p w14:paraId="2BB682F9" w14:textId="41715599" w:rsidR="00C22CD7" w:rsidRPr="00A90BAF" w:rsidRDefault="00375B2B" w:rsidP="00C22CD7">
      <w:pPr>
        <w:spacing w:after="0"/>
        <w:rPr>
          <w:rFonts w:ascii="Arial" w:hAnsi="Arial" w:cs="Arial"/>
        </w:rPr>
      </w:pPr>
      <w:r w:rsidRPr="001D2ADB">
        <w:rPr>
          <w:rFonts w:ascii="Arial" w:hAnsi="Arial" w:cs="Arial"/>
          <w:b/>
          <w:bCs/>
          <w:sz w:val="24"/>
          <w:szCs w:val="24"/>
        </w:rPr>
        <w:t>Melissa L</w:t>
      </w:r>
      <w:r w:rsidR="00D23100">
        <w:rPr>
          <w:rFonts w:ascii="Arial" w:hAnsi="Arial" w:cs="Arial"/>
          <w:b/>
          <w:bCs/>
          <w:sz w:val="24"/>
          <w:szCs w:val="24"/>
        </w:rPr>
        <w:t>.</w:t>
      </w:r>
      <w:r w:rsidRPr="001D2ADB">
        <w:rPr>
          <w:rFonts w:ascii="Arial" w:hAnsi="Arial" w:cs="Arial"/>
          <w:b/>
          <w:bCs/>
          <w:sz w:val="24"/>
          <w:szCs w:val="24"/>
        </w:rPr>
        <w:t xml:space="preserve"> Miller, PharmD</w:t>
      </w:r>
      <w:r w:rsidR="00C22CD7" w:rsidRPr="00A90BAF">
        <w:rPr>
          <w:rFonts w:ascii="Arial" w:hAnsi="Arial" w:cs="Arial"/>
        </w:rPr>
        <w:t xml:space="preserve">, </w:t>
      </w:r>
      <w:r w:rsidR="00C22CD7" w:rsidRPr="001D2ADB">
        <w:rPr>
          <w:rFonts w:ascii="Arial" w:hAnsi="Arial" w:cs="Arial"/>
          <w:sz w:val="20"/>
          <w:szCs w:val="20"/>
        </w:rPr>
        <w:t xml:space="preserve">Director of Pharmacy; </w:t>
      </w:r>
      <w:r w:rsidR="005F69B3" w:rsidRPr="001D2ADB">
        <w:rPr>
          <w:rFonts w:ascii="Arial" w:hAnsi="Arial" w:cs="Arial"/>
          <w:sz w:val="20"/>
          <w:szCs w:val="20"/>
        </w:rPr>
        <w:t>The Medical Center of Aurora</w:t>
      </w:r>
      <w:r w:rsidR="00C22CD7" w:rsidRPr="001D2ADB">
        <w:rPr>
          <w:rFonts w:ascii="Arial" w:hAnsi="Arial" w:cs="Arial"/>
          <w:sz w:val="20"/>
          <w:szCs w:val="20"/>
        </w:rPr>
        <w:t xml:space="preserve">, </w:t>
      </w:r>
      <w:r w:rsidR="005F69B3" w:rsidRPr="001D2ADB">
        <w:rPr>
          <w:rFonts w:ascii="Arial" w:hAnsi="Arial" w:cs="Arial"/>
          <w:sz w:val="20"/>
          <w:szCs w:val="20"/>
        </w:rPr>
        <w:t>Aurora</w:t>
      </w:r>
      <w:r w:rsidR="00C22CD7" w:rsidRPr="001D2ADB">
        <w:rPr>
          <w:rFonts w:ascii="Arial" w:hAnsi="Arial" w:cs="Arial"/>
          <w:sz w:val="20"/>
          <w:szCs w:val="20"/>
        </w:rPr>
        <w:t>, CO 80</w:t>
      </w:r>
      <w:r w:rsidR="005F69B3" w:rsidRPr="001D2ADB">
        <w:rPr>
          <w:rFonts w:ascii="Arial" w:hAnsi="Arial" w:cs="Arial"/>
          <w:sz w:val="20"/>
          <w:szCs w:val="20"/>
        </w:rPr>
        <w:t>012</w:t>
      </w:r>
      <w:r w:rsidR="00DF60EB" w:rsidRPr="001D2ADB">
        <w:rPr>
          <w:rFonts w:ascii="Arial" w:hAnsi="Arial" w:cs="Arial"/>
          <w:sz w:val="20"/>
          <w:szCs w:val="20"/>
        </w:rPr>
        <w:t>. M</w:t>
      </w:r>
      <w:r w:rsidR="00C22CD7" w:rsidRPr="001D2ADB">
        <w:rPr>
          <w:rFonts w:ascii="Arial" w:hAnsi="Arial" w:cs="Arial"/>
          <w:sz w:val="20"/>
          <w:szCs w:val="20"/>
        </w:rPr>
        <w:t>elissa.</w:t>
      </w:r>
      <w:r w:rsidR="00DF60EB" w:rsidRPr="001D2ADB">
        <w:rPr>
          <w:rFonts w:ascii="Arial" w:hAnsi="Arial" w:cs="Arial"/>
          <w:sz w:val="20"/>
          <w:szCs w:val="20"/>
        </w:rPr>
        <w:t>M</w:t>
      </w:r>
      <w:r w:rsidR="00C22CD7" w:rsidRPr="001D2ADB">
        <w:rPr>
          <w:rFonts w:ascii="Arial" w:hAnsi="Arial" w:cs="Arial"/>
          <w:sz w:val="20"/>
          <w:szCs w:val="20"/>
        </w:rPr>
        <w:t>iller@</w:t>
      </w:r>
      <w:r w:rsidR="00F76FEE" w:rsidRPr="001D2ADB">
        <w:rPr>
          <w:rFonts w:ascii="Arial" w:hAnsi="Arial" w:cs="Arial"/>
          <w:sz w:val="20"/>
          <w:szCs w:val="20"/>
        </w:rPr>
        <w:t>H</w:t>
      </w:r>
      <w:r w:rsidR="00C22CD7" w:rsidRPr="001D2ADB">
        <w:rPr>
          <w:rFonts w:ascii="Arial" w:hAnsi="Arial" w:cs="Arial"/>
          <w:sz w:val="20"/>
          <w:szCs w:val="20"/>
        </w:rPr>
        <w:t>ealth</w:t>
      </w:r>
      <w:r w:rsidR="00F76FEE" w:rsidRPr="001D2ADB">
        <w:rPr>
          <w:rFonts w:ascii="Arial" w:hAnsi="Arial" w:cs="Arial"/>
          <w:sz w:val="20"/>
          <w:szCs w:val="20"/>
        </w:rPr>
        <w:t>ONE</w:t>
      </w:r>
      <w:r w:rsidR="00C22CD7" w:rsidRPr="001D2ADB">
        <w:rPr>
          <w:rFonts w:ascii="Arial" w:hAnsi="Arial" w:cs="Arial"/>
          <w:sz w:val="20"/>
          <w:szCs w:val="20"/>
        </w:rPr>
        <w:t>cares.com</w:t>
      </w:r>
    </w:p>
    <w:p w14:paraId="77C7CE6E" w14:textId="4E0908CD" w:rsidR="00C22CD7" w:rsidRPr="001D2ADB" w:rsidRDefault="007800AC" w:rsidP="00C22CD7">
      <w:pPr>
        <w:spacing w:after="0"/>
        <w:rPr>
          <w:rFonts w:ascii="Arial" w:hAnsi="Arial" w:cs="Arial"/>
          <w:b/>
          <w:bCs/>
          <w:color w:val="FF0000"/>
          <w:sz w:val="20"/>
          <w:szCs w:val="20"/>
        </w:rPr>
      </w:pPr>
      <w:r w:rsidRPr="001D2ADB">
        <w:rPr>
          <w:rFonts w:ascii="Arial" w:hAnsi="Arial" w:cs="Arial"/>
          <w:b/>
          <w:bCs/>
          <w:sz w:val="24"/>
          <w:szCs w:val="24"/>
        </w:rPr>
        <w:t>Amina Mujkic, PharmD</w:t>
      </w:r>
      <w:r w:rsidR="00C22CD7" w:rsidRPr="00A90BAF">
        <w:rPr>
          <w:rFonts w:ascii="Arial" w:hAnsi="Arial" w:cs="Arial"/>
        </w:rPr>
        <w:t>,</w:t>
      </w:r>
      <w:r w:rsidR="005F69B3" w:rsidRPr="00A90BAF">
        <w:rPr>
          <w:rFonts w:ascii="Arial" w:hAnsi="Arial" w:cs="Arial"/>
        </w:rPr>
        <w:t xml:space="preserve"> </w:t>
      </w:r>
      <w:r w:rsidR="005F69B3" w:rsidRPr="001D2ADB">
        <w:rPr>
          <w:rFonts w:ascii="Arial" w:hAnsi="Arial" w:cs="Arial"/>
          <w:sz w:val="20"/>
          <w:szCs w:val="20"/>
        </w:rPr>
        <w:t>Advanced Clinical Pharmacist CV Services, The Medical Center of Aurora, Aurora, CO 80012. Amina.Mujkic@HealthONEcares.com</w:t>
      </w:r>
    </w:p>
    <w:p w14:paraId="6FEE2ACD" w14:textId="33EDB652" w:rsidR="00375B2B" w:rsidRPr="001D2ADB" w:rsidRDefault="00375B2B" w:rsidP="00C22CD7">
      <w:pPr>
        <w:spacing w:after="0"/>
        <w:rPr>
          <w:rFonts w:ascii="Arial" w:hAnsi="Arial" w:cs="Arial"/>
          <w:b/>
          <w:bCs/>
          <w:color w:val="FF0000"/>
          <w:sz w:val="20"/>
          <w:szCs w:val="20"/>
        </w:rPr>
      </w:pPr>
      <w:r w:rsidRPr="001D2ADB">
        <w:rPr>
          <w:rFonts w:ascii="Arial" w:hAnsi="Arial" w:cs="Arial"/>
          <w:b/>
          <w:bCs/>
          <w:sz w:val="24"/>
          <w:szCs w:val="24"/>
        </w:rPr>
        <w:t>Chanin C</w:t>
      </w:r>
      <w:r w:rsidR="00D23100">
        <w:rPr>
          <w:rFonts w:ascii="Arial" w:hAnsi="Arial" w:cs="Arial"/>
          <w:b/>
          <w:bCs/>
          <w:sz w:val="24"/>
          <w:szCs w:val="24"/>
        </w:rPr>
        <w:t>.</w:t>
      </w:r>
      <w:r w:rsidRPr="001D2ADB">
        <w:rPr>
          <w:rFonts w:ascii="Arial" w:hAnsi="Arial" w:cs="Arial"/>
          <w:b/>
          <w:bCs/>
          <w:sz w:val="24"/>
          <w:szCs w:val="24"/>
        </w:rPr>
        <w:t xml:space="preserve"> Wright, PharmD</w:t>
      </w:r>
      <w:r w:rsidR="00C22CD7" w:rsidRPr="00A90BAF">
        <w:rPr>
          <w:rFonts w:ascii="Arial" w:hAnsi="Arial" w:cs="Arial"/>
        </w:rPr>
        <w:t xml:space="preserve">, </w:t>
      </w:r>
      <w:r w:rsidR="00C22CD7" w:rsidRPr="001D2ADB">
        <w:rPr>
          <w:rFonts w:ascii="Arial" w:hAnsi="Arial" w:cs="Arial"/>
          <w:sz w:val="20"/>
          <w:szCs w:val="20"/>
        </w:rPr>
        <w:t xml:space="preserve">Director of </w:t>
      </w:r>
      <w:r w:rsidR="00576661" w:rsidRPr="001D2ADB">
        <w:rPr>
          <w:rFonts w:ascii="Arial" w:hAnsi="Arial" w:cs="Arial"/>
          <w:sz w:val="20"/>
          <w:szCs w:val="20"/>
        </w:rPr>
        <w:t>Pediatric Clinic Operations</w:t>
      </w:r>
      <w:r w:rsidR="00C22CD7" w:rsidRPr="001D2ADB">
        <w:rPr>
          <w:rFonts w:ascii="Arial" w:hAnsi="Arial" w:cs="Arial"/>
          <w:sz w:val="20"/>
          <w:szCs w:val="20"/>
        </w:rPr>
        <w:t>; McLane Children’s Hospital, Baylor Scott &amp; White Health, Temple, TX 76502</w:t>
      </w:r>
      <w:r w:rsidR="00F76FEE" w:rsidRPr="001D2ADB">
        <w:rPr>
          <w:rFonts w:ascii="Arial" w:hAnsi="Arial" w:cs="Arial"/>
          <w:sz w:val="20"/>
          <w:szCs w:val="20"/>
        </w:rPr>
        <w:t>. Chanin.Wright@bswhealth.org</w:t>
      </w:r>
    </w:p>
    <w:p w14:paraId="55C65FED" w14:textId="77777777" w:rsidR="00C22CD7" w:rsidRPr="00A90BAF" w:rsidRDefault="00C22CD7" w:rsidP="00C22CD7">
      <w:pPr>
        <w:spacing w:after="0"/>
        <w:rPr>
          <w:rFonts w:ascii="Arial" w:hAnsi="Arial" w:cs="Arial"/>
          <w:b/>
          <w:bCs/>
          <w:color w:val="FF0000"/>
        </w:rPr>
      </w:pPr>
    </w:p>
    <w:p w14:paraId="59F80BE4" w14:textId="7D2FA8E7" w:rsidR="00C22CD7" w:rsidRPr="001D2ADB" w:rsidRDefault="00C22CD7" w:rsidP="001D2ADB">
      <w:pPr>
        <w:spacing w:after="0"/>
        <w:rPr>
          <w:rFonts w:ascii="Arial" w:hAnsi="Arial" w:cs="Arial"/>
          <w:b/>
          <w:bCs/>
        </w:rPr>
      </w:pPr>
      <w:r w:rsidRPr="001D2ADB">
        <w:rPr>
          <w:rFonts w:ascii="Arial" w:hAnsi="Arial" w:cs="Arial"/>
          <w:b/>
          <w:bCs/>
        </w:rPr>
        <w:t xml:space="preserve">Updated </w:t>
      </w:r>
      <w:r w:rsidR="00971F41" w:rsidRPr="001D2ADB">
        <w:rPr>
          <w:rFonts w:ascii="Arial" w:hAnsi="Arial" w:cs="Arial"/>
          <w:b/>
          <w:bCs/>
        </w:rPr>
        <w:t>November 24, 2023</w:t>
      </w:r>
    </w:p>
    <w:p w14:paraId="2FB6C065" w14:textId="77777777" w:rsidR="00474DCD" w:rsidRPr="001D2ADB" w:rsidRDefault="00474DCD" w:rsidP="001D2ADB">
      <w:pPr>
        <w:spacing w:after="0"/>
        <w:rPr>
          <w:rFonts w:ascii="Arial" w:hAnsi="Arial" w:cs="Arial"/>
          <w:b/>
          <w:bCs/>
        </w:rPr>
      </w:pPr>
    </w:p>
    <w:p w14:paraId="4A08D0DA" w14:textId="5278AFD8" w:rsidR="00CB0944" w:rsidRPr="001D2ADB" w:rsidRDefault="00CB0944" w:rsidP="001D2ADB">
      <w:pPr>
        <w:spacing w:after="0"/>
        <w:outlineLvl w:val="0"/>
        <w:rPr>
          <w:rFonts w:ascii="Arial" w:hAnsi="Arial" w:cs="Arial"/>
          <w:b/>
          <w:bCs/>
          <w:color w:val="0070C0"/>
        </w:rPr>
      </w:pPr>
      <w:bookmarkStart w:id="1" w:name="_Hlk151750123"/>
      <w:r w:rsidRPr="001D2ADB">
        <w:rPr>
          <w:rFonts w:ascii="Arial" w:hAnsi="Arial" w:cs="Arial"/>
          <w:b/>
          <w:bCs/>
          <w:color w:val="0070C0"/>
        </w:rPr>
        <w:t>A</w:t>
      </w:r>
      <w:r w:rsidR="00000FFF" w:rsidRPr="001D2ADB">
        <w:rPr>
          <w:rFonts w:ascii="Arial" w:hAnsi="Arial" w:cs="Arial"/>
          <w:b/>
          <w:bCs/>
          <w:color w:val="0070C0"/>
        </w:rPr>
        <w:t>BSTRACT</w:t>
      </w:r>
    </w:p>
    <w:p w14:paraId="4F4123CB" w14:textId="77777777" w:rsidR="00CB0944" w:rsidRPr="001D2ADB" w:rsidRDefault="00CB0944" w:rsidP="001D2ADB">
      <w:pPr>
        <w:spacing w:after="0"/>
        <w:outlineLvl w:val="0"/>
        <w:rPr>
          <w:rFonts w:ascii="Arial" w:hAnsi="Arial" w:cs="Arial"/>
          <w:b/>
          <w:bCs/>
          <w:color w:val="0070C0"/>
        </w:rPr>
      </w:pPr>
    </w:p>
    <w:p w14:paraId="11071278" w14:textId="72894F68" w:rsidR="00CB0944" w:rsidRPr="001D2ADB" w:rsidRDefault="00000FFF" w:rsidP="001D2ADB">
      <w:pPr>
        <w:spacing w:after="0"/>
        <w:rPr>
          <w:rFonts w:ascii="Arial" w:hAnsi="Arial" w:cs="Arial"/>
          <w:vertAlign w:val="superscript"/>
        </w:rPr>
      </w:pPr>
      <w:r w:rsidRPr="001D2ADB">
        <w:rPr>
          <w:rFonts w:ascii="Arial" w:hAnsi="Arial" w:cs="Arial"/>
        </w:rPr>
        <w:t>The first comprehensive pediatric dyslipidemia guidelines were published by the National Cholesterol Education Program’s Expert Panel on Blood Cholesterol Levels in Children and Adolescents in 1992 and were updated by the American Academy of Pediatrics (AAP) in 1998. In 2008 the AAP issued an updated clinical report detailing recommendations for screening and evaluation of cholesterol levels in children and adolescents as well as prevention and treatment strategies. Since the publication of the first guidelines, rates of pediatric obesity have significantly increased, resulting in a concomitant increase in dyslipidemia. Recently, options for pharmacotherapeutic interventions in pediatric patients have expanded with new FDA approved indications of several lipid lowering medications, as well as additional safety and efficacy data. In 2011, The National Heart Lung and Blood Institute (NHLBI) published its comprehensive report Integrated Guidelines for Cardiovascular Health and Risk Reduction in Children and Adolescents. As with previous guidelines, lifestyle modifications with an emphasis on a heart-healthy diet and daily moderate to vigorous exercise remain an integral part of treatment for pediatric lipid disorders; however, the recommendations for patients requiring management with pharmacotherapy have changed, and will be the focus of this discussion</w:t>
      </w:r>
      <w:r w:rsidR="00CB0944" w:rsidRPr="001D2ADB">
        <w:rPr>
          <w:rFonts w:ascii="Arial" w:hAnsi="Arial" w:cs="Arial"/>
        </w:rPr>
        <w:t>.</w:t>
      </w:r>
    </w:p>
    <w:bookmarkEnd w:id="1"/>
    <w:p w14:paraId="07CF1DA2" w14:textId="77777777" w:rsidR="00C22CD7" w:rsidRPr="001D2ADB" w:rsidRDefault="00C22CD7" w:rsidP="001D2ADB">
      <w:pPr>
        <w:spacing w:after="0"/>
        <w:outlineLvl w:val="0"/>
        <w:rPr>
          <w:rFonts w:ascii="Arial" w:hAnsi="Arial" w:cs="Arial"/>
        </w:rPr>
      </w:pPr>
    </w:p>
    <w:p w14:paraId="1EECF701" w14:textId="02AB7C60" w:rsidR="00375B2B" w:rsidRPr="001D2ADB" w:rsidRDefault="00375B2B" w:rsidP="001D2ADB">
      <w:pPr>
        <w:spacing w:after="0"/>
        <w:outlineLvl w:val="0"/>
        <w:rPr>
          <w:rFonts w:ascii="Arial" w:hAnsi="Arial" w:cs="Arial"/>
          <w:b/>
          <w:bCs/>
          <w:color w:val="0070C0"/>
        </w:rPr>
      </w:pPr>
      <w:bookmarkStart w:id="2" w:name="_Hlk151750198"/>
      <w:r w:rsidRPr="001D2ADB">
        <w:rPr>
          <w:rFonts w:ascii="Arial" w:hAnsi="Arial" w:cs="Arial"/>
          <w:b/>
          <w:bCs/>
          <w:color w:val="0070C0"/>
        </w:rPr>
        <w:t>INTRODUCTION</w:t>
      </w:r>
    </w:p>
    <w:p w14:paraId="6B56DCEF" w14:textId="77777777" w:rsidR="00474DCD" w:rsidRPr="001D2ADB" w:rsidRDefault="00474DCD" w:rsidP="001D2ADB">
      <w:pPr>
        <w:spacing w:after="0"/>
        <w:outlineLvl w:val="0"/>
        <w:rPr>
          <w:rFonts w:ascii="Arial" w:hAnsi="Arial" w:cs="Arial"/>
          <w:b/>
          <w:bCs/>
          <w:color w:val="0070C0"/>
        </w:rPr>
      </w:pPr>
    </w:p>
    <w:p w14:paraId="5F9592CE" w14:textId="5AAA02F4" w:rsidR="00375B2B" w:rsidRPr="001D2ADB" w:rsidRDefault="000D4FDA" w:rsidP="001D2ADB">
      <w:pPr>
        <w:spacing w:after="0"/>
        <w:rPr>
          <w:rFonts w:ascii="Arial" w:hAnsi="Arial" w:cs="Arial"/>
          <w:vertAlign w:val="superscript"/>
        </w:rPr>
      </w:pPr>
      <w:r w:rsidRPr="001D2ADB">
        <w:rPr>
          <w:rFonts w:ascii="Arial" w:hAnsi="Arial" w:cs="Arial"/>
        </w:rPr>
        <w:t>T</w:t>
      </w:r>
      <w:r w:rsidR="00375B2B" w:rsidRPr="001D2ADB">
        <w:rPr>
          <w:rFonts w:ascii="Arial" w:hAnsi="Arial" w:cs="Arial"/>
        </w:rPr>
        <w:t>he diagnosis, treatment,</w:t>
      </w:r>
      <w:r w:rsidRPr="001D2ADB">
        <w:rPr>
          <w:rFonts w:ascii="Arial" w:hAnsi="Arial" w:cs="Arial"/>
        </w:rPr>
        <w:t xml:space="preserve"> and monitoring of dyslipidemia</w:t>
      </w:r>
      <w:r w:rsidR="00375B2B" w:rsidRPr="001D2ADB">
        <w:rPr>
          <w:rFonts w:ascii="Arial" w:hAnsi="Arial" w:cs="Arial"/>
        </w:rPr>
        <w:t xml:space="preserve"> in youth</w:t>
      </w:r>
      <w:r w:rsidRPr="001D2ADB">
        <w:rPr>
          <w:rFonts w:ascii="Arial" w:hAnsi="Arial" w:cs="Arial"/>
        </w:rPr>
        <w:t xml:space="preserve"> </w:t>
      </w:r>
      <w:r w:rsidR="00375B2B" w:rsidRPr="001D2ADB">
        <w:rPr>
          <w:rFonts w:ascii="Arial" w:hAnsi="Arial" w:cs="Arial"/>
        </w:rPr>
        <w:t>has undergone significant transformations in recent years.  As detailed by the Pathobiological Determinants of Atherosclerosis in Youth (PDAY) and Bogal</w:t>
      </w:r>
      <w:r w:rsidRPr="001D2ADB">
        <w:rPr>
          <w:rFonts w:ascii="Arial" w:hAnsi="Arial" w:cs="Arial"/>
        </w:rPr>
        <w:t>usa Heart studies, dyslipidemia</w:t>
      </w:r>
      <w:r w:rsidR="00375B2B" w:rsidRPr="001D2ADB">
        <w:rPr>
          <w:rFonts w:ascii="Arial" w:hAnsi="Arial" w:cs="Arial"/>
        </w:rPr>
        <w:t xml:space="preserve"> play</w:t>
      </w:r>
      <w:r w:rsidRPr="001D2ADB">
        <w:rPr>
          <w:rFonts w:ascii="Arial" w:hAnsi="Arial" w:cs="Arial"/>
        </w:rPr>
        <w:t>s</w:t>
      </w:r>
      <w:r w:rsidR="00375B2B" w:rsidRPr="001D2ADB">
        <w:rPr>
          <w:rFonts w:ascii="Arial" w:hAnsi="Arial" w:cs="Arial"/>
        </w:rPr>
        <w:t xml:space="preserve"> a vital role in both the initiation, as well as the progression of atherosclerotic lesions in children and adolescents</w:t>
      </w:r>
      <w:r w:rsidR="00E441DA" w:rsidRPr="001D2ADB">
        <w:rPr>
          <w:rFonts w:ascii="Arial" w:hAnsi="Arial" w:cs="Arial"/>
        </w:rPr>
        <w:t xml:space="preserve"> (1-3)</w:t>
      </w:r>
      <w:r w:rsidR="00375B2B" w:rsidRPr="001D2ADB">
        <w:rPr>
          <w:rFonts w:ascii="Arial" w:hAnsi="Arial" w:cs="Arial"/>
        </w:rPr>
        <w:t>.</w:t>
      </w:r>
      <w:r w:rsidR="006A6C95" w:rsidRPr="001D2ADB">
        <w:rPr>
          <w:rFonts w:ascii="Arial" w:hAnsi="Arial" w:cs="Arial"/>
        </w:rPr>
        <w:t xml:space="preserve"> Because</w:t>
      </w:r>
      <w:r w:rsidRPr="001D2ADB">
        <w:rPr>
          <w:rFonts w:ascii="Arial" w:hAnsi="Arial" w:cs="Arial"/>
        </w:rPr>
        <w:t xml:space="preserve"> of their </w:t>
      </w:r>
      <w:r w:rsidR="00375B2B" w:rsidRPr="001D2ADB">
        <w:rPr>
          <w:rFonts w:ascii="Arial" w:hAnsi="Arial" w:cs="Arial"/>
        </w:rPr>
        <w:t xml:space="preserve">role in </w:t>
      </w:r>
      <w:r w:rsidRPr="001D2ADB">
        <w:rPr>
          <w:rFonts w:ascii="Arial" w:hAnsi="Arial" w:cs="Arial"/>
        </w:rPr>
        <w:t xml:space="preserve">premature cardiovascular disease, control of dyslipidemia provides clinicians with an opportunity </w:t>
      </w:r>
      <w:r w:rsidR="006A6C95" w:rsidRPr="001D2ADB">
        <w:rPr>
          <w:rFonts w:ascii="Arial" w:hAnsi="Arial" w:cs="Arial"/>
        </w:rPr>
        <w:t>for reducing</w:t>
      </w:r>
      <w:r w:rsidR="00375B2B" w:rsidRPr="001D2ADB">
        <w:rPr>
          <w:rFonts w:ascii="Arial" w:hAnsi="Arial" w:cs="Arial"/>
        </w:rPr>
        <w:t xml:space="preserve"> morbidity and mortality.</w:t>
      </w:r>
      <w:r w:rsidR="0097600A" w:rsidRPr="001D2ADB">
        <w:rPr>
          <w:rFonts w:ascii="Arial" w:hAnsi="Arial" w:cs="Arial"/>
        </w:rPr>
        <w:t xml:space="preserve">  Observational data from individuals with genetic mutations that lower atherogenic cholesterol</w:t>
      </w:r>
      <w:r w:rsidR="00C13B5C" w:rsidRPr="001D2ADB">
        <w:rPr>
          <w:rFonts w:ascii="Arial" w:hAnsi="Arial" w:cs="Arial"/>
        </w:rPr>
        <w:t>,</w:t>
      </w:r>
      <w:r w:rsidR="0097600A" w:rsidRPr="001D2ADB">
        <w:rPr>
          <w:rFonts w:ascii="Arial" w:hAnsi="Arial" w:cs="Arial"/>
        </w:rPr>
        <w:t xml:space="preserve"> low-density lipoprotein cholesterol </w:t>
      </w:r>
      <w:r w:rsidR="00C13B5C" w:rsidRPr="001D2ADB">
        <w:rPr>
          <w:rFonts w:ascii="Arial" w:hAnsi="Arial" w:cs="Arial"/>
        </w:rPr>
        <w:t>(LDL-C)</w:t>
      </w:r>
      <w:r w:rsidR="0097600A" w:rsidRPr="001D2ADB">
        <w:rPr>
          <w:rFonts w:ascii="Arial" w:hAnsi="Arial" w:cs="Arial"/>
        </w:rPr>
        <w:t xml:space="preserve"> and non-high-d</w:t>
      </w:r>
      <w:r w:rsidR="00C13B5C" w:rsidRPr="001D2ADB">
        <w:rPr>
          <w:rFonts w:ascii="Arial" w:hAnsi="Arial" w:cs="Arial"/>
        </w:rPr>
        <w:t>ensity lipoprotein cholesterol (non-HDL-C),</w:t>
      </w:r>
      <w:r w:rsidR="0097600A" w:rsidRPr="001D2ADB">
        <w:rPr>
          <w:rFonts w:ascii="Arial" w:hAnsi="Arial" w:cs="Arial"/>
        </w:rPr>
        <w:t xml:space="preserve"> over a lifetime are associated with few</w:t>
      </w:r>
      <w:r w:rsidR="00C13B5C" w:rsidRPr="001D2ADB">
        <w:rPr>
          <w:rFonts w:ascii="Arial" w:hAnsi="Arial" w:cs="Arial"/>
        </w:rPr>
        <w:t>er</w:t>
      </w:r>
      <w:r w:rsidR="0097600A" w:rsidRPr="001D2ADB">
        <w:rPr>
          <w:rFonts w:ascii="Arial" w:hAnsi="Arial" w:cs="Arial"/>
        </w:rPr>
        <w:t xml:space="preserve"> events and longer life expectancy</w:t>
      </w:r>
      <w:r w:rsidR="00E441DA" w:rsidRPr="001D2ADB">
        <w:rPr>
          <w:rFonts w:ascii="Arial" w:hAnsi="Arial" w:cs="Arial"/>
        </w:rPr>
        <w:t xml:space="preserve"> (4, 5)</w:t>
      </w:r>
      <w:r w:rsidR="00C13B5C" w:rsidRPr="001D2ADB">
        <w:rPr>
          <w:rFonts w:ascii="Arial" w:hAnsi="Arial" w:cs="Arial"/>
        </w:rPr>
        <w:t>.</w:t>
      </w:r>
      <w:r w:rsidR="0097600A" w:rsidRPr="001D2ADB">
        <w:rPr>
          <w:rFonts w:ascii="Arial" w:hAnsi="Arial" w:cs="Arial"/>
        </w:rPr>
        <w:t xml:space="preserve"> While these obse</w:t>
      </w:r>
      <w:r w:rsidR="00C13B5C" w:rsidRPr="001D2ADB">
        <w:rPr>
          <w:rFonts w:ascii="Arial" w:hAnsi="Arial" w:cs="Arial"/>
        </w:rPr>
        <w:t>rvations are very encouraging, it</w:t>
      </w:r>
      <w:r w:rsidR="0097600A" w:rsidRPr="001D2ADB">
        <w:rPr>
          <w:rFonts w:ascii="Arial" w:hAnsi="Arial" w:cs="Arial"/>
        </w:rPr>
        <w:t xml:space="preserve"> is not known </w:t>
      </w:r>
      <w:r w:rsidR="00C13B5C" w:rsidRPr="001D2ADB">
        <w:rPr>
          <w:rFonts w:ascii="Arial" w:hAnsi="Arial" w:cs="Arial"/>
        </w:rPr>
        <w:t>if</w:t>
      </w:r>
      <w:r w:rsidR="0097600A" w:rsidRPr="001D2ADB">
        <w:rPr>
          <w:rFonts w:ascii="Arial" w:hAnsi="Arial" w:cs="Arial"/>
        </w:rPr>
        <w:t xml:space="preserve"> achieving the same level of lipid lowering with medications over decades will offer the same protective effects as observed in individuals with life-long lower cholesterol secondary to a genetic mutation</w:t>
      </w:r>
      <w:r w:rsidR="00E441DA" w:rsidRPr="001D2ADB">
        <w:rPr>
          <w:rFonts w:ascii="Arial" w:hAnsi="Arial" w:cs="Arial"/>
        </w:rPr>
        <w:t xml:space="preserve"> (6)</w:t>
      </w:r>
      <w:r w:rsidR="0097600A" w:rsidRPr="001D2ADB">
        <w:rPr>
          <w:rFonts w:ascii="Arial" w:hAnsi="Arial" w:cs="Arial"/>
        </w:rPr>
        <w:t>.</w:t>
      </w:r>
      <w:r w:rsidR="00DB6865" w:rsidRPr="001D2ADB">
        <w:rPr>
          <w:rFonts w:ascii="Arial" w:hAnsi="Arial" w:cs="Arial"/>
        </w:rPr>
        <w:t xml:space="preserve"> </w:t>
      </w:r>
      <w:r w:rsidR="00BF5A94" w:rsidRPr="001D2ADB">
        <w:rPr>
          <w:rFonts w:ascii="Arial" w:hAnsi="Arial" w:cs="Arial"/>
        </w:rPr>
        <w:t>Table 1 provides a comparison across</w:t>
      </w:r>
      <w:r w:rsidR="00027D2F" w:rsidRPr="001D2ADB">
        <w:rPr>
          <w:rFonts w:ascii="Arial" w:hAnsi="Arial" w:cs="Arial"/>
        </w:rPr>
        <w:t xml:space="preserve"> the evolution of </w:t>
      </w:r>
      <w:r w:rsidR="00BF5A94" w:rsidRPr="001D2ADB">
        <w:rPr>
          <w:rFonts w:ascii="Arial" w:hAnsi="Arial" w:cs="Arial"/>
        </w:rPr>
        <w:t xml:space="preserve">guideline </w:t>
      </w:r>
      <w:r w:rsidR="00027D2F" w:rsidRPr="001D2ADB">
        <w:rPr>
          <w:rFonts w:ascii="Arial" w:hAnsi="Arial" w:cs="Arial"/>
        </w:rPr>
        <w:t xml:space="preserve">recommendations </w:t>
      </w:r>
      <w:r w:rsidR="00BF5A94" w:rsidRPr="001D2ADB">
        <w:rPr>
          <w:rFonts w:ascii="Arial" w:hAnsi="Arial" w:cs="Arial"/>
        </w:rPr>
        <w:t xml:space="preserve">for </w:t>
      </w:r>
      <w:r w:rsidR="00027D2F" w:rsidRPr="001D2ADB">
        <w:rPr>
          <w:rFonts w:ascii="Arial" w:hAnsi="Arial" w:cs="Arial"/>
        </w:rPr>
        <w:t>the</w:t>
      </w:r>
      <w:r w:rsidR="00BF5A94" w:rsidRPr="001D2ADB">
        <w:rPr>
          <w:rFonts w:ascii="Arial" w:hAnsi="Arial" w:cs="Arial"/>
        </w:rPr>
        <w:t xml:space="preserve"> initiation of </w:t>
      </w:r>
      <w:r w:rsidR="00BF5A94" w:rsidRPr="001D2ADB">
        <w:rPr>
          <w:rFonts w:ascii="Arial" w:hAnsi="Arial" w:cs="Arial"/>
        </w:rPr>
        <w:lastRenderedPageBreak/>
        <w:t xml:space="preserve">pharmacologic intervention </w:t>
      </w:r>
      <w:r w:rsidR="00510F08" w:rsidRPr="001D2ADB">
        <w:rPr>
          <w:rFonts w:ascii="Arial" w:hAnsi="Arial" w:cs="Arial"/>
        </w:rPr>
        <w:t xml:space="preserve">with the goal of </w:t>
      </w:r>
      <w:r w:rsidR="00BF5A94" w:rsidRPr="001D2ADB">
        <w:rPr>
          <w:rFonts w:ascii="Arial" w:hAnsi="Arial" w:cs="Arial"/>
        </w:rPr>
        <w:t>balanc</w:t>
      </w:r>
      <w:r w:rsidR="00510F08" w:rsidRPr="001D2ADB">
        <w:rPr>
          <w:rFonts w:ascii="Arial" w:hAnsi="Arial" w:cs="Arial"/>
        </w:rPr>
        <w:t>ing</w:t>
      </w:r>
      <w:r w:rsidR="00BF5A94" w:rsidRPr="001D2ADB">
        <w:rPr>
          <w:rFonts w:ascii="Arial" w:hAnsi="Arial" w:cs="Arial"/>
        </w:rPr>
        <w:t xml:space="preserve"> risk and benefit</w:t>
      </w:r>
      <w:r w:rsidR="00E441DA" w:rsidRPr="001D2ADB">
        <w:rPr>
          <w:rFonts w:ascii="Arial" w:hAnsi="Arial" w:cs="Arial"/>
        </w:rPr>
        <w:t xml:space="preserve"> (7-1</w:t>
      </w:r>
      <w:r w:rsidR="00DF60EB" w:rsidRPr="001D2ADB">
        <w:rPr>
          <w:rFonts w:ascii="Arial" w:hAnsi="Arial" w:cs="Arial"/>
        </w:rPr>
        <w:t>1</w:t>
      </w:r>
      <w:r w:rsidR="00E441DA" w:rsidRPr="001D2ADB">
        <w:rPr>
          <w:rFonts w:ascii="Arial" w:hAnsi="Arial" w:cs="Arial"/>
        </w:rPr>
        <w:t>)</w:t>
      </w:r>
      <w:r w:rsidR="00BF5A94" w:rsidRPr="001D2ADB">
        <w:rPr>
          <w:rFonts w:ascii="Arial" w:hAnsi="Arial" w:cs="Arial"/>
        </w:rPr>
        <w:t>.</w:t>
      </w:r>
      <w:r w:rsidR="006A6C95" w:rsidRPr="001D2ADB">
        <w:rPr>
          <w:rFonts w:ascii="Arial" w:hAnsi="Arial" w:cs="Arial"/>
          <w:vertAlign w:val="superscript"/>
        </w:rPr>
        <w:t xml:space="preserve"> </w:t>
      </w:r>
      <w:r w:rsidR="006A6C95" w:rsidRPr="001D2ADB">
        <w:rPr>
          <w:rFonts w:ascii="Arial" w:hAnsi="Arial" w:cs="Arial"/>
        </w:rPr>
        <w:t>Table</w:t>
      </w:r>
      <w:r w:rsidR="000D17AA" w:rsidRPr="001D2ADB">
        <w:rPr>
          <w:rFonts w:ascii="Arial" w:hAnsi="Arial" w:cs="Arial"/>
        </w:rPr>
        <w:t xml:space="preserve"> 2 details the risk factors and risk conditions described in the NHLBI guidelines</w:t>
      </w:r>
      <w:r w:rsidR="00DF60EB" w:rsidRPr="001D2ADB">
        <w:rPr>
          <w:rFonts w:ascii="Arial" w:hAnsi="Arial" w:cs="Arial"/>
        </w:rPr>
        <w:t xml:space="preserve"> (9</w:t>
      </w:r>
      <w:r w:rsidR="00E441DA" w:rsidRPr="001D2ADB">
        <w:rPr>
          <w:rFonts w:ascii="Arial" w:hAnsi="Arial" w:cs="Arial"/>
        </w:rPr>
        <w:t>)</w:t>
      </w:r>
      <w:r w:rsidR="000D17AA" w:rsidRPr="001D2ADB">
        <w:rPr>
          <w:rFonts w:ascii="Arial" w:hAnsi="Arial" w:cs="Arial"/>
        </w:rPr>
        <w:t>.</w:t>
      </w:r>
    </w:p>
    <w:p w14:paraId="32627CFF" w14:textId="77777777" w:rsidR="00EA2CA7" w:rsidRPr="001D2ADB" w:rsidRDefault="00EA2CA7" w:rsidP="001D2ADB">
      <w:pPr>
        <w:spacing w:after="0"/>
        <w:rPr>
          <w:rFonts w:ascii="Arial" w:hAnsi="Arial" w:cs="Arial"/>
          <w:vertAlign w:val="superscript"/>
        </w:rPr>
      </w:pPr>
    </w:p>
    <w:tbl>
      <w:tblPr>
        <w:tblW w:w="10036" w:type="dxa"/>
        <w:tblInd w:w="-460" w:type="dxa"/>
        <w:tblLayout w:type="fixed"/>
        <w:tblLook w:val="04A0" w:firstRow="1" w:lastRow="0" w:firstColumn="1" w:lastColumn="0" w:noHBand="0" w:noVBand="1"/>
      </w:tblPr>
      <w:tblGrid>
        <w:gridCol w:w="2098"/>
        <w:gridCol w:w="238"/>
        <w:gridCol w:w="310"/>
        <w:gridCol w:w="2124"/>
        <w:gridCol w:w="305"/>
        <w:gridCol w:w="310"/>
        <w:gridCol w:w="1875"/>
        <w:gridCol w:w="305"/>
        <w:gridCol w:w="310"/>
        <w:gridCol w:w="2161"/>
      </w:tblGrid>
      <w:tr w:rsidR="00EA2CA7" w:rsidRPr="001D2ADB" w14:paraId="52EDF063" w14:textId="77777777" w:rsidTr="000D2D5E">
        <w:trPr>
          <w:trHeight w:val="349"/>
        </w:trPr>
        <w:tc>
          <w:tcPr>
            <w:tcW w:w="10036" w:type="dxa"/>
            <w:gridSpan w:val="10"/>
            <w:tcBorders>
              <w:top w:val="single" w:sz="8" w:space="0" w:color="auto"/>
              <w:left w:val="single" w:sz="8" w:space="0" w:color="auto"/>
              <w:bottom w:val="single" w:sz="8" w:space="0" w:color="auto"/>
              <w:right w:val="single" w:sz="8" w:space="0" w:color="000000"/>
            </w:tcBorders>
            <w:shd w:val="clear" w:color="auto" w:fill="FFFF00"/>
            <w:vAlign w:val="center"/>
          </w:tcPr>
          <w:p w14:paraId="690DD695" w14:textId="77777777" w:rsidR="00EA2CA7" w:rsidRPr="001D2ADB" w:rsidRDefault="00EA2CA7" w:rsidP="001D2ADB">
            <w:pPr>
              <w:spacing w:after="0"/>
              <w:rPr>
                <w:rFonts w:ascii="Arial" w:eastAsia="Times New Roman" w:hAnsi="Arial" w:cs="Arial"/>
                <w:b/>
                <w:bCs/>
              </w:rPr>
            </w:pPr>
            <w:bookmarkStart w:id="3" w:name="_Hlk137028927"/>
            <w:r w:rsidRPr="001D2ADB">
              <w:rPr>
                <w:rFonts w:ascii="Arial" w:hAnsi="Arial" w:cs="Arial"/>
                <w:b/>
                <w:bCs/>
              </w:rPr>
              <w:t>Table 1. Comparison of Recommendations for Treatment</w:t>
            </w:r>
          </w:p>
        </w:tc>
      </w:tr>
      <w:tr w:rsidR="00EA2CA7" w:rsidRPr="001D2ADB" w14:paraId="670AF514" w14:textId="77777777" w:rsidTr="000D2D5E">
        <w:trPr>
          <w:trHeight w:val="435"/>
        </w:trPr>
        <w:tc>
          <w:tcPr>
            <w:tcW w:w="2098" w:type="dxa"/>
            <w:tcBorders>
              <w:top w:val="single" w:sz="8" w:space="0" w:color="auto"/>
              <w:left w:val="single" w:sz="8" w:space="0" w:color="auto"/>
              <w:bottom w:val="single" w:sz="8" w:space="0" w:color="auto"/>
              <w:right w:val="single" w:sz="8" w:space="0" w:color="auto"/>
            </w:tcBorders>
            <w:shd w:val="clear" w:color="000000" w:fill="auto"/>
            <w:vAlign w:val="center"/>
            <w:hideMark/>
          </w:tcPr>
          <w:p w14:paraId="0D2BF324" w14:textId="77777777" w:rsidR="00EA2CA7" w:rsidRPr="001D2ADB" w:rsidRDefault="00EA2CA7" w:rsidP="001D2ADB">
            <w:pPr>
              <w:spacing w:after="0"/>
              <w:rPr>
                <w:rFonts w:ascii="Arial" w:eastAsia="Times New Roman" w:hAnsi="Arial" w:cs="Arial"/>
                <w:b/>
                <w:bCs/>
              </w:rPr>
            </w:pPr>
            <w:r w:rsidRPr="001D2ADB">
              <w:rPr>
                <w:rFonts w:ascii="Arial" w:eastAsia="Times New Roman" w:hAnsi="Arial" w:cs="Arial"/>
                <w:b/>
                <w:bCs/>
              </w:rPr>
              <w:t>Guidelines</w:t>
            </w:r>
          </w:p>
        </w:tc>
        <w:tc>
          <w:tcPr>
            <w:tcW w:w="2672" w:type="dxa"/>
            <w:gridSpan w:val="3"/>
            <w:tcBorders>
              <w:top w:val="single" w:sz="8" w:space="0" w:color="auto"/>
              <w:left w:val="nil"/>
              <w:bottom w:val="single" w:sz="8" w:space="0" w:color="auto"/>
              <w:right w:val="single" w:sz="8" w:space="0" w:color="000000"/>
            </w:tcBorders>
            <w:shd w:val="clear" w:color="000000" w:fill="auto"/>
            <w:vAlign w:val="center"/>
            <w:hideMark/>
          </w:tcPr>
          <w:p w14:paraId="6A1B5224" w14:textId="0DB60D67" w:rsidR="00EA2CA7" w:rsidRPr="001D2ADB" w:rsidRDefault="00EA2CA7" w:rsidP="001D2ADB">
            <w:pPr>
              <w:spacing w:after="0"/>
              <w:rPr>
                <w:rFonts w:ascii="Arial" w:eastAsia="Times New Roman" w:hAnsi="Arial" w:cs="Arial"/>
                <w:b/>
                <w:bCs/>
              </w:rPr>
            </w:pPr>
            <w:r w:rsidRPr="001D2ADB">
              <w:rPr>
                <w:rFonts w:ascii="Arial" w:eastAsia="Times New Roman" w:hAnsi="Arial" w:cs="Arial"/>
                <w:b/>
                <w:bCs/>
              </w:rPr>
              <w:t>NCEP, AAP – 1992 &amp; 1998</w:t>
            </w:r>
            <w:r w:rsidRPr="001D2ADB">
              <w:rPr>
                <w:rFonts w:ascii="Arial" w:eastAsia="Times New Roman" w:hAnsi="Arial" w:cs="Arial"/>
                <w:b/>
                <w:bCs/>
                <w:vertAlign w:val="superscript"/>
              </w:rPr>
              <w:t xml:space="preserve"> </w:t>
            </w:r>
          </w:p>
        </w:tc>
        <w:tc>
          <w:tcPr>
            <w:tcW w:w="2490" w:type="dxa"/>
            <w:gridSpan w:val="3"/>
            <w:tcBorders>
              <w:top w:val="single" w:sz="8" w:space="0" w:color="auto"/>
              <w:left w:val="nil"/>
              <w:bottom w:val="single" w:sz="8" w:space="0" w:color="auto"/>
              <w:right w:val="single" w:sz="8" w:space="0" w:color="000000"/>
            </w:tcBorders>
            <w:shd w:val="clear" w:color="000000" w:fill="auto"/>
            <w:vAlign w:val="center"/>
            <w:hideMark/>
          </w:tcPr>
          <w:p w14:paraId="352B1368" w14:textId="1C2CD201" w:rsidR="00EA2CA7" w:rsidRPr="001D2ADB" w:rsidRDefault="00EA2CA7" w:rsidP="001D2ADB">
            <w:pPr>
              <w:spacing w:after="0"/>
              <w:rPr>
                <w:rFonts w:ascii="Arial" w:eastAsia="Times New Roman" w:hAnsi="Arial" w:cs="Arial"/>
                <w:b/>
                <w:bCs/>
              </w:rPr>
            </w:pPr>
            <w:r w:rsidRPr="001D2ADB">
              <w:rPr>
                <w:rFonts w:ascii="Arial" w:eastAsia="Times New Roman" w:hAnsi="Arial" w:cs="Arial"/>
                <w:b/>
                <w:bCs/>
              </w:rPr>
              <w:t>AAP – 2008</w:t>
            </w:r>
            <w:r w:rsidRPr="001D2ADB">
              <w:rPr>
                <w:rFonts w:ascii="Arial" w:eastAsia="Times New Roman" w:hAnsi="Arial" w:cs="Arial"/>
                <w:b/>
                <w:bCs/>
                <w:vertAlign w:val="superscript"/>
              </w:rPr>
              <w:t xml:space="preserve"> </w:t>
            </w:r>
          </w:p>
        </w:tc>
        <w:tc>
          <w:tcPr>
            <w:tcW w:w="2776" w:type="dxa"/>
            <w:gridSpan w:val="3"/>
            <w:tcBorders>
              <w:top w:val="single" w:sz="8" w:space="0" w:color="auto"/>
              <w:left w:val="nil"/>
              <w:bottom w:val="single" w:sz="8" w:space="0" w:color="auto"/>
              <w:right w:val="single" w:sz="8" w:space="0" w:color="000000"/>
            </w:tcBorders>
            <w:shd w:val="clear" w:color="000000" w:fill="auto"/>
            <w:vAlign w:val="center"/>
            <w:hideMark/>
          </w:tcPr>
          <w:p w14:paraId="50945EF0" w14:textId="7E8142EE" w:rsidR="00EA2CA7" w:rsidRPr="001D2ADB" w:rsidRDefault="00EA2CA7" w:rsidP="001D2ADB">
            <w:pPr>
              <w:spacing w:after="0"/>
              <w:rPr>
                <w:rFonts w:ascii="Arial" w:eastAsia="Times New Roman" w:hAnsi="Arial" w:cs="Arial"/>
                <w:b/>
                <w:bCs/>
              </w:rPr>
            </w:pPr>
            <w:r w:rsidRPr="001D2ADB">
              <w:rPr>
                <w:rFonts w:ascii="Arial" w:eastAsia="Times New Roman" w:hAnsi="Arial" w:cs="Arial"/>
                <w:b/>
                <w:bCs/>
              </w:rPr>
              <w:t>NHLBI, AAP – 2011</w:t>
            </w:r>
            <w:r w:rsidRPr="001D2ADB">
              <w:rPr>
                <w:rFonts w:ascii="Arial" w:eastAsia="Times New Roman" w:hAnsi="Arial" w:cs="Arial"/>
                <w:b/>
                <w:bCs/>
                <w:vertAlign w:val="superscript"/>
              </w:rPr>
              <w:t xml:space="preserve"> </w:t>
            </w:r>
          </w:p>
        </w:tc>
      </w:tr>
      <w:tr w:rsidR="00EA2CA7" w:rsidRPr="001D2ADB" w14:paraId="3D5DB115" w14:textId="77777777" w:rsidTr="000D2D5E">
        <w:trPr>
          <w:trHeight w:val="390"/>
        </w:trPr>
        <w:tc>
          <w:tcPr>
            <w:tcW w:w="2098" w:type="dxa"/>
            <w:vMerge w:val="restart"/>
            <w:tcBorders>
              <w:top w:val="nil"/>
              <w:left w:val="single" w:sz="8" w:space="0" w:color="auto"/>
              <w:bottom w:val="nil"/>
              <w:right w:val="single" w:sz="8" w:space="0" w:color="auto"/>
            </w:tcBorders>
            <w:shd w:val="clear" w:color="auto" w:fill="auto"/>
            <w:hideMark/>
          </w:tcPr>
          <w:p w14:paraId="2A68DC94"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Pharmacologic Treatment Initiation Parameters*</w:t>
            </w:r>
          </w:p>
        </w:tc>
        <w:tc>
          <w:tcPr>
            <w:tcW w:w="238" w:type="dxa"/>
            <w:tcBorders>
              <w:top w:val="nil"/>
              <w:left w:val="nil"/>
              <w:bottom w:val="nil"/>
              <w:right w:val="nil"/>
            </w:tcBorders>
            <w:shd w:val="clear" w:color="auto" w:fill="auto"/>
            <w:hideMark/>
          </w:tcPr>
          <w:p w14:paraId="13E2EB3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w:t>
            </w:r>
          </w:p>
        </w:tc>
        <w:tc>
          <w:tcPr>
            <w:tcW w:w="2434" w:type="dxa"/>
            <w:gridSpan w:val="2"/>
            <w:tcBorders>
              <w:top w:val="single" w:sz="8" w:space="0" w:color="auto"/>
              <w:left w:val="nil"/>
              <w:bottom w:val="nil"/>
              <w:right w:val="single" w:sz="8" w:space="0" w:color="000000"/>
            </w:tcBorders>
            <w:shd w:val="clear" w:color="auto" w:fill="auto"/>
            <w:hideMark/>
          </w:tcPr>
          <w:p w14:paraId="03666178"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Age &gt; 10 years with LDL-C</w:t>
            </w:r>
          </w:p>
        </w:tc>
        <w:tc>
          <w:tcPr>
            <w:tcW w:w="305" w:type="dxa"/>
            <w:tcBorders>
              <w:top w:val="nil"/>
              <w:left w:val="nil"/>
              <w:bottom w:val="nil"/>
              <w:right w:val="nil"/>
            </w:tcBorders>
            <w:shd w:val="clear" w:color="auto" w:fill="auto"/>
            <w:hideMark/>
          </w:tcPr>
          <w:p w14:paraId="09B5ECD3"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w:t>
            </w:r>
          </w:p>
        </w:tc>
        <w:tc>
          <w:tcPr>
            <w:tcW w:w="2185" w:type="dxa"/>
            <w:gridSpan w:val="2"/>
            <w:tcBorders>
              <w:top w:val="single" w:sz="8" w:space="0" w:color="auto"/>
              <w:left w:val="nil"/>
              <w:bottom w:val="nil"/>
              <w:right w:val="single" w:sz="8" w:space="0" w:color="000000"/>
            </w:tcBorders>
            <w:shd w:val="clear" w:color="auto" w:fill="auto"/>
            <w:hideMark/>
          </w:tcPr>
          <w:p w14:paraId="234AFEEB"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Age ≥ 8 years with LDL-C</w:t>
            </w:r>
          </w:p>
        </w:tc>
        <w:tc>
          <w:tcPr>
            <w:tcW w:w="305" w:type="dxa"/>
            <w:tcBorders>
              <w:top w:val="nil"/>
              <w:left w:val="nil"/>
              <w:bottom w:val="nil"/>
              <w:right w:val="nil"/>
            </w:tcBorders>
            <w:shd w:val="clear" w:color="auto" w:fill="auto"/>
            <w:hideMark/>
          </w:tcPr>
          <w:p w14:paraId="0F2253EB"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w:t>
            </w:r>
          </w:p>
        </w:tc>
        <w:tc>
          <w:tcPr>
            <w:tcW w:w="2471" w:type="dxa"/>
            <w:gridSpan w:val="2"/>
            <w:tcBorders>
              <w:top w:val="single" w:sz="8" w:space="0" w:color="auto"/>
              <w:left w:val="nil"/>
              <w:bottom w:val="nil"/>
              <w:right w:val="single" w:sz="8" w:space="0" w:color="000000"/>
            </w:tcBorders>
            <w:shd w:val="clear" w:color="auto" w:fill="auto"/>
            <w:hideMark/>
          </w:tcPr>
          <w:p w14:paraId="32FA09FB"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Ages 10-21 years with LDL-C</w:t>
            </w:r>
          </w:p>
        </w:tc>
      </w:tr>
      <w:tr w:rsidR="00EA2CA7" w:rsidRPr="001D2ADB" w14:paraId="0F509BCA" w14:textId="77777777" w:rsidTr="000D2D5E">
        <w:trPr>
          <w:trHeight w:val="300"/>
        </w:trPr>
        <w:tc>
          <w:tcPr>
            <w:tcW w:w="2098" w:type="dxa"/>
            <w:vMerge/>
            <w:tcBorders>
              <w:top w:val="nil"/>
              <w:left w:val="single" w:sz="8" w:space="0" w:color="auto"/>
              <w:bottom w:val="nil"/>
              <w:right w:val="single" w:sz="8" w:space="0" w:color="auto"/>
            </w:tcBorders>
            <w:vAlign w:val="center"/>
            <w:hideMark/>
          </w:tcPr>
          <w:p w14:paraId="4E5F56BC" w14:textId="77777777" w:rsidR="00EA2CA7" w:rsidRPr="001D2ADB" w:rsidRDefault="00EA2CA7" w:rsidP="001D2ADB">
            <w:pPr>
              <w:spacing w:after="0"/>
              <w:rPr>
                <w:rFonts w:ascii="Arial" w:eastAsia="Times New Roman" w:hAnsi="Arial" w:cs="Arial"/>
                <w:color w:val="000000"/>
              </w:rPr>
            </w:pPr>
          </w:p>
        </w:tc>
        <w:tc>
          <w:tcPr>
            <w:tcW w:w="238" w:type="dxa"/>
            <w:tcBorders>
              <w:top w:val="nil"/>
              <w:left w:val="single" w:sz="8" w:space="0" w:color="auto"/>
              <w:bottom w:val="nil"/>
              <w:right w:val="nil"/>
            </w:tcBorders>
            <w:shd w:val="clear" w:color="auto" w:fill="auto"/>
            <w:noWrap/>
            <w:vAlign w:val="bottom"/>
            <w:hideMark/>
          </w:tcPr>
          <w:p w14:paraId="3A8F378C"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hideMark/>
          </w:tcPr>
          <w:p w14:paraId="2352DA1E"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o</w:t>
            </w:r>
          </w:p>
        </w:tc>
        <w:tc>
          <w:tcPr>
            <w:tcW w:w="2124" w:type="dxa"/>
            <w:tcBorders>
              <w:top w:val="nil"/>
              <w:left w:val="nil"/>
              <w:bottom w:val="nil"/>
              <w:right w:val="nil"/>
            </w:tcBorders>
            <w:shd w:val="clear" w:color="auto" w:fill="auto"/>
            <w:noWrap/>
            <w:hideMark/>
          </w:tcPr>
          <w:p w14:paraId="3C8665B9"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190 mg/dL</w:t>
            </w:r>
          </w:p>
        </w:tc>
        <w:tc>
          <w:tcPr>
            <w:tcW w:w="305" w:type="dxa"/>
            <w:tcBorders>
              <w:top w:val="nil"/>
              <w:left w:val="single" w:sz="8" w:space="0" w:color="auto"/>
              <w:bottom w:val="nil"/>
              <w:right w:val="nil"/>
            </w:tcBorders>
            <w:shd w:val="clear" w:color="auto" w:fill="auto"/>
            <w:noWrap/>
            <w:hideMark/>
          </w:tcPr>
          <w:p w14:paraId="0AF94639"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hideMark/>
          </w:tcPr>
          <w:p w14:paraId="1807AE49"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o</w:t>
            </w:r>
          </w:p>
        </w:tc>
        <w:tc>
          <w:tcPr>
            <w:tcW w:w="1875" w:type="dxa"/>
            <w:tcBorders>
              <w:top w:val="nil"/>
              <w:left w:val="nil"/>
              <w:bottom w:val="nil"/>
              <w:right w:val="nil"/>
            </w:tcBorders>
            <w:shd w:val="clear" w:color="auto" w:fill="auto"/>
            <w:noWrap/>
            <w:hideMark/>
          </w:tcPr>
          <w:p w14:paraId="79B5D51F"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xml:space="preserve">≥ 190 mg/dL </w:t>
            </w:r>
          </w:p>
        </w:tc>
        <w:tc>
          <w:tcPr>
            <w:tcW w:w="305" w:type="dxa"/>
            <w:tcBorders>
              <w:top w:val="nil"/>
              <w:left w:val="single" w:sz="8" w:space="0" w:color="auto"/>
              <w:bottom w:val="nil"/>
              <w:right w:val="nil"/>
            </w:tcBorders>
            <w:shd w:val="clear" w:color="auto" w:fill="auto"/>
            <w:noWrap/>
            <w:hideMark/>
          </w:tcPr>
          <w:p w14:paraId="4FBE05B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hideMark/>
          </w:tcPr>
          <w:p w14:paraId="47EE1645"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o</w:t>
            </w:r>
          </w:p>
        </w:tc>
        <w:tc>
          <w:tcPr>
            <w:tcW w:w="2161" w:type="dxa"/>
            <w:tcBorders>
              <w:top w:val="nil"/>
              <w:left w:val="nil"/>
              <w:bottom w:val="nil"/>
              <w:right w:val="single" w:sz="8" w:space="0" w:color="auto"/>
            </w:tcBorders>
            <w:shd w:val="clear" w:color="auto" w:fill="auto"/>
            <w:noWrap/>
            <w:hideMark/>
          </w:tcPr>
          <w:p w14:paraId="13D93846"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190 mg/dL</w:t>
            </w:r>
          </w:p>
        </w:tc>
      </w:tr>
      <w:tr w:rsidR="00EA2CA7" w:rsidRPr="001D2ADB" w14:paraId="216ACAE0" w14:textId="77777777" w:rsidTr="000D2D5E">
        <w:trPr>
          <w:trHeight w:val="909"/>
        </w:trPr>
        <w:tc>
          <w:tcPr>
            <w:tcW w:w="2098" w:type="dxa"/>
            <w:vMerge/>
            <w:tcBorders>
              <w:top w:val="nil"/>
              <w:left w:val="single" w:sz="8" w:space="0" w:color="auto"/>
              <w:bottom w:val="nil"/>
              <w:right w:val="single" w:sz="8" w:space="0" w:color="auto"/>
            </w:tcBorders>
            <w:vAlign w:val="center"/>
            <w:hideMark/>
          </w:tcPr>
          <w:p w14:paraId="22755D5D" w14:textId="77777777" w:rsidR="00EA2CA7" w:rsidRPr="001D2ADB" w:rsidRDefault="00EA2CA7" w:rsidP="001D2ADB">
            <w:pPr>
              <w:spacing w:after="0"/>
              <w:rPr>
                <w:rFonts w:ascii="Arial" w:eastAsia="Times New Roman" w:hAnsi="Arial" w:cs="Arial"/>
                <w:color w:val="000000"/>
              </w:rPr>
            </w:pPr>
          </w:p>
        </w:tc>
        <w:tc>
          <w:tcPr>
            <w:tcW w:w="238" w:type="dxa"/>
            <w:tcBorders>
              <w:top w:val="nil"/>
              <w:left w:val="single" w:sz="8" w:space="0" w:color="auto"/>
              <w:bottom w:val="nil"/>
              <w:right w:val="nil"/>
            </w:tcBorders>
            <w:shd w:val="clear" w:color="auto" w:fill="auto"/>
            <w:noWrap/>
            <w:vAlign w:val="bottom"/>
            <w:hideMark/>
          </w:tcPr>
          <w:p w14:paraId="0B8B8F7B"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hideMark/>
          </w:tcPr>
          <w:p w14:paraId="040C1B3C"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o</w:t>
            </w:r>
          </w:p>
        </w:tc>
        <w:tc>
          <w:tcPr>
            <w:tcW w:w="2124" w:type="dxa"/>
            <w:vMerge w:val="restart"/>
            <w:tcBorders>
              <w:top w:val="nil"/>
              <w:left w:val="nil"/>
              <w:bottom w:val="nil"/>
              <w:right w:val="nil"/>
            </w:tcBorders>
            <w:shd w:val="clear" w:color="auto" w:fill="auto"/>
            <w:hideMark/>
          </w:tcPr>
          <w:p w14:paraId="5F7D6D1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&gt; 160 mg/dL in addition to a positive family history of premature CVD or presence of at least 2 CVD risk factors in the child/adolescent</w:t>
            </w:r>
          </w:p>
        </w:tc>
        <w:tc>
          <w:tcPr>
            <w:tcW w:w="305" w:type="dxa"/>
            <w:tcBorders>
              <w:top w:val="nil"/>
              <w:left w:val="single" w:sz="8" w:space="0" w:color="auto"/>
              <w:bottom w:val="nil"/>
              <w:right w:val="nil"/>
            </w:tcBorders>
            <w:shd w:val="clear" w:color="auto" w:fill="auto"/>
            <w:noWrap/>
            <w:hideMark/>
          </w:tcPr>
          <w:p w14:paraId="69CEF035"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hideMark/>
          </w:tcPr>
          <w:p w14:paraId="42E20DD3"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o</w:t>
            </w:r>
          </w:p>
        </w:tc>
        <w:tc>
          <w:tcPr>
            <w:tcW w:w="1875" w:type="dxa"/>
            <w:vMerge w:val="restart"/>
            <w:tcBorders>
              <w:top w:val="nil"/>
              <w:left w:val="nil"/>
              <w:bottom w:val="nil"/>
              <w:right w:val="single" w:sz="8" w:space="0" w:color="auto"/>
            </w:tcBorders>
            <w:shd w:val="clear" w:color="auto" w:fill="auto"/>
            <w:hideMark/>
          </w:tcPr>
          <w:p w14:paraId="7539390E"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160 mg/dL in addition to a positive family history of premature CVD or presence of risk factors</w:t>
            </w:r>
          </w:p>
        </w:tc>
        <w:tc>
          <w:tcPr>
            <w:tcW w:w="305" w:type="dxa"/>
            <w:tcBorders>
              <w:top w:val="nil"/>
              <w:left w:val="single" w:sz="8" w:space="0" w:color="auto"/>
              <w:bottom w:val="nil"/>
              <w:right w:val="nil"/>
            </w:tcBorders>
            <w:shd w:val="clear" w:color="auto" w:fill="auto"/>
            <w:noWrap/>
            <w:vAlign w:val="bottom"/>
            <w:hideMark/>
          </w:tcPr>
          <w:p w14:paraId="2F4ED362"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hideMark/>
          </w:tcPr>
          <w:p w14:paraId="7E1035D5"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o</w:t>
            </w:r>
          </w:p>
        </w:tc>
        <w:tc>
          <w:tcPr>
            <w:tcW w:w="2161" w:type="dxa"/>
            <w:vMerge w:val="restart"/>
            <w:tcBorders>
              <w:top w:val="nil"/>
              <w:left w:val="nil"/>
              <w:bottom w:val="nil"/>
              <w:right w:val="single" w:sz="8" w:space="0" w:color="auto"/>
            </w:tcBorders>
            <w:shd w:val="clear" w:color="auto" w:fill="auto"/>
            <w:hideMark/>
          </w:tcPr>
          <w:p w14:paraId="4EEE2769"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160-189 mg/dL in addition to a positive family history of premature CVD or presence of 1 high level risk factor/condition or presence of 2 moderate level risk factors/conditions</w:t>
            </w:r>
          </w:p>
        </w:tc>
      </w:tr>
      <w:tr w:rsidR="00EA2CA7" w:rsidRPr="001D2ADB" w14:paraId="08B759CF" w14:textId="77777777" w:rsidTr="000D2D5E">
        <w:trPr>
          <w:trHeight w:val="375"/>
        </w:trPr>
        <w:tc>
          <w:tcPr>
            <w:tcW w:w="2098" w:type="dxa"/>
            <w:tcBorders>
              <w:top w:val="nil"/>
              <w:left w:val="single" w:sz="8" w:space="0" w:color="auto"/>
              <w:bottom w:val="nil"/>
              <w:right w:val="nil"/>
            </w:tcBorders>
            <w:shd w:val="clear" w:color="auto" w:fill="auto"/>
            <w:hideMark/>
          </w:tcPr>
          <w:p w14:paraId="18F5C42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38" w:type="dxa"/>
            <w:tcBorders>
              <w:top w:val="nil"/>
              <w:left w:val="single" w:sz="8" w:space="0" w:color="auto"/>
              <w:bottom w:val="nil"/>
              <w:right w:val="nil"/>
            </w:tcBorders>
            <w:shd w:val="clear" w:color="auto" w:fill="auto"/>
            <w:noWrap/>
            <w:vAlign w:val="bottom"/>
            <w:hideMark/>
          </w:tcPr>
          <w:p w14:paraId="2772B84D"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hideMark/>
          </w:tcPr>
          <w:p w14:paraId="77153B49" w14:textId="77777777" w:rsidR="00EA2CA7" w:rsidRPr="001D2ADB" w:rsidRDefault="00EA2CA7" w:rsidP="001D2ADB">
            <w:pPr>
              <w:spacing w:after="0"/>
              <w:rPr>
                <w:rFonts w:ascii="Arial" w:eastAsia="Times New Roman" w:hAnsi="Arial" w:cs="Arial"/>
                <w:color w:val="000000"/>
              </w:rPr>
            </w:pPr>
          </w:p>
        </w:tc>
        <w:tc>
          <w:tcPr>
            <w:tcW w:w="2124" w:type="dxa"/>
            <w:vMerge/>
            <w:tcBorders>
              <w:top w:val="nil"/>
              <w:left w:val="nil"/>
              <w:bottom w:val="nil"/>
              <w:right w:val="nil"/>
            </w:tcBorders>
            <w:vAlign w:val="center"/>
            <w:hideMark/>
          </w:tcPr>
          <w:p w14:paraId="04904D25" w14:textId="77777777" w:rsidR="00EA2CA7" w:rsidRPr="001D2ADB" w:rsidRDefault="00EA2CA7" w:rsidP="001D2ADB">
            <w:pPr>
              <w:spacing w:after="0"/>
              <w:rPr>
                <w:rFonts w:ascii="Arial" w:eastAsia="Times New Roman" w:hAnsi="Arial" w:cs="Arial"/>
                <w:color w:val="000000"/>
              </w:rPr>
            </w:pPr>
          </w:p>
        </w:tc>
        <w:tc>
          <w:tcPr>
            <w:tcW w:w="305" w:type="dxa"/>
            <w:tcBorders>
              <w:top w:val="nil"/>
              <w:left w:val="single" w:sz="8" w:space="0" w:color="auto"/>
              <w:bottom w:val="nil"/>
              <w:right w:val="nil"/>
            </w:tcBorders>
            <w:shd w:val="clear" w:color="auto" w:fill="auto"/>
            <w:noWrap/>
            <w:hideMark/>
          </w:tcPr>
          <w:p w14:paraId="2EEC2E0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hideMark/>
          </w:tcPr>
          <w:p w14:paraId="35AE951D" w14:textId="77777777" w:rsidR="00EA2CA7" w:rsidRPr="001D2ADB" w:rsidRDefault="00EA2CA7" w:rsidP="001D2ADB">
            <w:pPr>
              <w:spacing w:after="0"/>
              <w:rPr>
                <w:rFonts w:ascii="Arial" w:eastAsia="Times New Roman" w:hAnsi="Arial" w:cs="Arial"/>
                <w:color w:val="000000"/>
              </w:rPr>
            </w:pPr>
          </w:p>
        </w:tc>
        <w:tc>
          <w:tcPr>
            <w:tcW w:w="1875" w:type="dxa"/>
            <w:vMerge/>
            <w:tcBorders>
              <w:top w:val="nil"/>
              <w:left w:val="nil"/>
              <w:bottom w:val="nil"/>
              <w:right w:val="single" w:sz="8" w:space="0" w:color="auto"/>
            </w:tcBorders>
            <w:vAlign w:val="center"/>
            <w:hideMark/>
          </w:tcPr>
          <w:p w14:paraId="059B59D2" w14:textId="77777777" w:rsidR="00EA2CA7" w:rsidRPr="001D2ADB" w:rsidRDefault="00EA2CA7" w:rsidP="001D2ADB">
            <w:pPr>
              <w:spacing w:after="0"/>
              <w:rPr>
                <w:rFonts w:ascii="Arial" w:eastAsia="Times New Roman" w:hAnsi="Arial" w:cs="Arial"/>
                <w:color w:val="000000"/>
              </w:rPr>
            </w:pPr>
          </w:p>
        </w:tc>
        <w:tc>
          <w:tcPr>
            <w:tcW w:w="305" w:type="dxa"/>
            <w:tcBorders>
              <w:top w:val="nil"/>
              <w:left w:val="single" w:sz="8" w:space="0" w:color="auto"/>
              <w:bottom w:val="nil"/>
              <w:right w:val="nil"/>
            </w:tcBorders>
            <w:shd w:val="clear" w:color="auto" w:fill="auto"/>
            <w:noWrap/>
            <w:vAlign w:val="bottom"/>
            <w:hideMark/>
          </w:tcPr>
          <w:p w14:paraId="33D1906D"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hideMark/>
          </w:tcPr>
          <w:p w14:paraId="099E75D9" w14:textId="77777777" w:rsidR="00EA2CA7" w:rsidRPr="001D2ADB" w:rsidRDefault="00EA2CA7" w:rsidP="001D2ADB">
            <w:pPr>
              <w:spacing w:after="0"/>
              <w:rPr>
                <w:rFonts w:ascii="Arial" w:eastAsia="Times New Roman" w:hAnsi="Arial" w:cs="Arial"/>
                <w:color w:val="000000"/>
              </w:rPr>
            </w:pPr>
          </w:p>
        </w:tc>
        <w:tc>
          <w:tcPr>
            <w:tcW w:w="2161" w:type="dxa"/>
            <w:vMerge/>
            <w:tcBorders>
              <w:top w:val="nil"/>
              <w:left w:val="nil"/>
              <w:bottom w:val="nil"/>
              <w:right w:val="single" w:sz="8" w:space="0" w:color="auto"/>
            </w:tcBorders>
            <w:vAlign w:val="center"/>
            <w:hideMark/>
          </w:tcPr>
          <w:p w14:paraId="1F1BCDEA" w14:textId="77777777" w:rsidR="00EA2CA7" w:rsidRPr="001D2ADB" w:rsidRDefault="00EA2CA7" w:rsidP="001D2ADB">
            <w:pPr>
              <w:spacing w:after="0"/>
              <w:rPr>
                <w:rFonts w:ascii="Arial" w:eastAsia="Times New Roman" w:hAnsi="Arial" w:cs="Arial"/>
                <w:color w:val="000000"/>
              </w:rPr>
            </w:pPr>
          </w:p>
        </w:tc>
      </w:tr>
      <w:tr w:rsidR="00EA2CA7" w:rsidRPr="001D2ADB" w14:paraId="476CA1FF" w14:textId="77777777" w:rsidTr="000D2D5E">
        <w:trPr>
          <w:trHeight w:val="216"/>
        </w:trPr>
        <w:tc>
          <w:tcPr>
            <w:tcW w:w="2098" w:type="dxa"/>
            <w:tcBorders>
              <w:top w:val="nil"/>
              <w:left w:val="single" w:sz="8" w:space="0" w:color="auto"/>
              <w:bottom w:val="nil"/>
              <w:right w:val="nil"/>
            </w:tcBorders>
            <w:shd w:val="clear" w:color="auto" w:fill="auto"/>
            <w:noWrap/>
            <w:vAlign w:val="bottom"/>
            <w:hideMark/>
          </w:tcPr>
          <w:p w14:paraId="7CFD1ED5"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38" w:type="dxa"/>
            <w:tcBorders>
              <w:top w:val="nil"/>
              <w:left w:val="single" w:sz="8" w:space="0" w:color="auto"/>
              <w:bottom w:val="nil"/>
              <w:right w:val="nil"/>
            </w:tcBorders>
            <w:shd w:val="clear" w:color="auto" w:fill="auto"/>
            <w:noWrap/>
            <w:vAlign w:val="bottom"/>
            <w:hideMark/>
          </w:tcPr>
          <w:p w14:paraId="1594B9E8"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05ACBBBF" w14:textId="77777777" w:rsidR="00EA2CA7" w:rsidRPr="001D2ADB" w:rsidRDefault="00EA2CA7" w:rsidP="001D2ADB">
            <w:pPr>
              <w:spacing w:after="0"/>
              <w:rPr>
                <w:rFonts w:ascii="Arial" w:eastAsia="Times New Roman" w:hAnsi="Arial" w:cs="Arial"/>
                <w:color w:val="000000"/>
              </w:rPr>
            </w:pPr>
          </w:p>
        </w:tc>
        <w:tc>
          <w:tcPr>
            <w:tcW w:w="2124" w:type="dxa"/>
            <w:vMerge/>
            <w:tcBorders>
              <w:top w:val="nil"/>
              <w:left w:val="nil"/>
              <w:bottom w:val="nil"/>
              <w:right w:val="nil"/>
            </w:tcBorders>
            <w:vAlign w:val="center"/>
            <w:hideMark/>
          </w:tcPr>
          <w:p w14:paraId="4EAB4648" w14:textId="77777777" w:rsidR="00EA2CA7" w:rsidRPr="001D2ADB" w:rsidRDefault="00EA2CA7" w:rsidP="001D2ADB">
            <w:pPr>
              <w:spacing w:after="0"/>
              <w:rPr>
                <w:rFonts w:ascii="Arial" w:eastAsia="Times New Roman" w:hAnsi="Arial" w:cs="Arial"/>
                <w:color w:val="000000"/>
              </w:rPr>
            </w:pPr>
          </w:p>
        </w:tc>
        <w:tc>
          <w:tcPr>
            <w:tcW w:w="305" w:type="dxa"/>
            <w:tcBorders>
              <w:top w:val="nil"/>
              <w:left w:val="single" w:sz="8" w:space="0" w:color="auto"/>
              <w:bottom w:val="nil"/>
              <w:right w:val="nil"/>
            </w:tcBorders>
            <w:shd w:val="clear" w:color="auto" w:fill="auto"/>
            <w:noWrap/>
            <w:hideMark/>
          </w:tcPr>
          <w:p w14:paraId="1BB42554"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hideMark/>
          </w:tcPr>
          <w:p w14:paraId="6908D3F1"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o</w:t>
            </w:r>
          </w:p>
        </w:tc>
        <w:tc>
          <w:tcPr>
            <w:tcW w:w="1875" w:type="dxa"/>
            <w:vMerge w:val="restart"/>
            <w:tcBorders>
              <w:top w:val="nil"/>
              <w:left w:val="nil"/>
              <w:bottom w:val="nil"/>
              <w:right w:val="single" w:sz="8" w:space="0" w:color="auto"/>
            </w:tcBorders>
            <w:shd w:val="clear" w:color="auto" w:fill="auto"/>
            <w:hideMark/>
          </w:tcPr>
          <w:p w14:paraId="12B7A8E2"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130 mg/dL in addition to presence of diabetes mellitus</w:t>
            </w:r>
          </w:p>
        </w:tc>
        <w:tc>
          <w:tcPr>
            <w:tcW w:w="305" w:type="dxa"/>
            <w:tcBorders>
              <w:top w:val="nil"/>
              <w:left w:val="single" w:sz="8" w:space="0" w:color="auto"/>
              <w:bottom w:val="nil"/>
              <w:right w:val="nil"/>
            </w:tcBorders>
            <w:shd w:val="clear" w:color="auto" w:fill="auto"/>
            <w:noWrap/>
            <w:vAlign w:val="bottom"/>
            <w:hideMark/>
          </w:tcPr>
          <w:p w14:paraId="2AD6A1E5"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070DA616" w14:textId="77777777" w:rsidR="00EA2CA7" w:rsidRPr="001D2ADB" w:rsidRDefault="00EA2CA7" w:rsidP="001D2ADB">
            <w:pPr>
              <w:spacing w:after="0"/>
              <w:rPr>
                <w:rFonts w:ascii="Arial" w:eastAsia="Times New Roman" w:hAnsi="Arial" w:cs="Arial"/>
                <w:color w:val="000000"/>
              </w:rPr>
            </w:pPr>
          </w:p>
        </w:tc>
        <w:tc>
          <w:tcPr>
            <w:tcW w:w="2161" w:type="dxa"/>
            <w:vMerge/>
            <w:tcBorders>
              <w:top w:val="nil"/>
              <w:left w:val="nil"/>
              <w:bottom w:val="nil"/>
              <w:right w:val="single" w:sz="8" w:space="0" w:color="auto"/>
            </w:tcBorders>
            <w:vAlign w:val="center"/>
            <w:hideMark/>
          </w:tcPr>
          <w:p w14:paraId="31A94FF1" w14:textId="77777777" w:rsidR="00EA2CA7" w:rsidRPr="001D2ADB" w:rsidRDefault="00EA2CA7" w:rsidP="001D2ADB">
            <w:pPr>
              <w:spacing w:after="0"/>
              <w:rPr>
                <w:rFonts w:ascii="Arial" w:eastAsia="Times New Roman" w:hAnsi="Arial" w:cs="Arial"/>
                <w:color w:val="000000"/>
              </w:rPr>
            </w:pPr>
          </w:p>
        </w:tc>
      </w:tr>
      <w:tr w:rsidR="00EA2CA7" w:rsidRPr="001D2ADB" w14:paraId="48C70C45" w14:textId="77777777" w:rsidTr="000D2D5E">
        <w:trPr>
          <w:trHeight w:val="405"/>
        </w:trPr>
        <w:tc>
          <w:tcPr>
            <w:tcW w:w="2098" w:type="dxa"/>
            <w:tcBorders>
              <w:top w:val="nil"/>
              <w:left w:val="single" w:sz="8" w:space="0" w:color="auto"/>
              <w:bottom w:val="nil"/>
              <w:right w:val="nil"/>
            </w:tcBorders>
            <w:shd w:val="clear" w:color="auto" w:fill="auto"/>
            <w:noWrap/>
            <w:vAlign w:val="bottom"/>
            <w:hideMark/>
          </w:tcPr>
          <w:p w14:paraId="2D8F9E7C"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38" w:type="dxa"/>
            <w:tcBorders>
              <w:top w:val="nil"/>
              <w:left w:val="single" w:sz="8" w:space="0" w:color="auto"/>
              <w:bottom w:val="nil"/>
              <w:right w:val="nil"/>
            </w:tcBorders>
            <w:shd w:val="clear" w:color="auto" w:fill="auto"/>
            <w:noWrap/>
            <w:vAlign w:val="bottom"/>
            <w:hideMark/>
          </w:tcPr>
          <w:p w14:paraId="79BFD5A2"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4F7398D8"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20BB6D03"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5151DE10"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4CC0DAB6" w14:textId="77777777" w:rsidR="00EA2CA7" w:rsidRPr="001D2ADB" w:rsidRDefault="00EA2CA7" w:rsidP="001D2ADB">
            <w:pPr>
              <w:spacing w:after="0"/>
              <w:rPr>
                <w:rFonts w:ascii="Arial" w:eastAsia="Times New Roman" w:hAnsi="Arial" w:cs="Arial"/>
                <w:color w:val="000000"/>
              </w:rPr>
            </w:pPr>
          </w:p>
        </w:tc>
        <w:tc>
          <w:tcPr>
            <w:tcW w:w="1875" w:type="dxa"/>
            <w:vMerge/>
            <w:tcBorders>
              <w:top w:val="nil"/>
              <w:left w:val="nil"/>
              <w:bottom w:val="nil"/>
              <w:right w:val="single" w:sz="8" w:space="0" w:color="auto"/>
            </w:tcBorders>
            <w:vAlign w:val="center"/>
            <w:hideMark/>
          </w:tcPr>
          <w:p w14:paraId="1D935C39" w14:textId="77777777" w:rsidR="00EA2CA7" w:rsidRPr="001D2ADB" w:rsidRDefault="00EA2CA7" w:rsidP="001D2ADB">
            <w:pPr>
              <w:spacing w:after="0"/>
              <w:rPr>
                <w:rFonts w:ascii="Arial" w:eastAsia="Times New Roman" w:hAnsi="Arial" w:cs="Arial"/>
                <w:color w:val="000000"/>
              </w:rPr>
            </w:pPr>
          </w:p>
        </w:tc>
        <w:tc>
          <w:tcPr>
            <w:tcW w:w="305" w:type="dxa"/>
            <w:tcBorders>
              <w:top w:val="nil"/>
              <w:left w:val="single" w:sz="8" w:space="0" w:color="auto"/>
              <w:bottom w:val="nil"/>
              <w:right w:val="nil"/>
            </w:tcBorders>
            <w:shd w:val="clear" w:color="auto" w:fill="auto"/>
            <w:noWrap/>
            <w:vAlign w:val="bottom"/>
            <w:hideMark/>
          </w:tcPr>
          <w:p w14:paraId="3945C3F5"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447B7242" w14:textId="77777777" w:rsidR="00EA2CA7" w:rsidRPr="001D2ADB" w:rsidRDefault="00EA2CA7" w:rsidP="001D2ADB">
            <w:pPr>
              <w:spacing w:after="0"/>
              <w:rPr>
                <w:rFonts w:ascii="Arial" w:eastAsia="Times New Roman" w:hAnsi="Arial" w:cs="Arial"/>
                <w:color w:val="000000"/>
              </w:rPr>
            </w:pPr>
          </w:p>
        </w:tc>
        <w:tc>
          <w:tcPr>
            <w:tcW w:w="2161" w:type="dxa"/>
            <w:vMerge/>
            <w:tcBorders>
              <w:top w:val="nil"/>
              <w:left w:val="nil"/>
              <w:bottom w:val="nil"/>
              <w:right w:val="single" w:sz="8" w:space="0" w:color="auto"/>
            </w:tcBorders>
            <w:vAlign w:val="center"/>
            <w:hideMark/>
          </w:tcPr>
          <w:p w14:paraId="4EDB292A" w14:textId="77777777" w:rsidR="00EA2CA7" w:rsidRPr="001D2ADB" w:rsidRDefault="00EA2CA7" w:rsidP="001D2ADB">
            <w:pPr>
              <w:spacing w:after="0"/>
              <w:rPr>
                <w:rFonts w:ascii="Arial" w:eastAsia="Times New Roman" w:hAnsi="Arial" w:cs="Arial"/>
                <w:color w:val="000000"/>
              </w:rPr>
            </w:pPr>
          </w:p>
        </w:tc>
      </w:tr>
      <w:tr w:rsidR="00EA2CA7" w:rsidRPr="001D2ADB" w14:paraId="6E99FF6C" w14:textId="77777777" w:rsidTr="000D2D5E">
        <w:trPr>
          <w:trHeight w:val="300"/>
        </w:trPr>
        <w:tc>
          <w:tcPr>
            <w:tcW w:w="2098" w:type="dxa"/>
            <w:tcBorders>
              <w:top w:val="nil"/>
              <w:left w:val="single" w:sz="8" w:space="0" w:color="auto"/>
              <w:bottom w:val="nil"/>
              <w:right w:val="nil"/>
            </w:tcBorders>
            <w:shd w:val="clear" w:color="auto" w:fill="auto"/>
            <w:noWrap/>
            <w:vAlign w:val="bottom"/>
            <w:hideMark/>
          </w:tcPr>
          <w:p w14:paraId="172E8F02"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38" w:type="dxa"/>
            <w:tcBorders>
              <w:top w:val="nil"/>
              <w:left w:val="single" w:sz="8" w:space="0" w:color="auto"/>
              <w:bottom w:val="nil"/>
              <w:right w:val="nil"/>
            </w:tcBorders>
            <w:shd w:val="clear" w:color="auto" w:fill="auto"/>
            <w:noWrap/>
            <w:vAlign w:val="bottom"/>
            <w:hideMark/>
          </w:tcPr>
          <w:p w14:paraId="7030EE54"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20340BF9"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07BC01E3"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hideMark/>
          </w:tcPr>
          <w:p w14:paraId="52A11E4E"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w:t>
            </w:r>
          </w:p>
        </w:tc>
        <w:tc>
          <w:tcPr>
            <w:tcW w:w="2185" w:type="dxa"/>
            <w:gridSpan w:val="2"/>
            <w:tcBorders>
              <w:top w:val="nil"/>
              <w:left w:val="nil"/>
              <w:bottom w:val="nil"/>
              <w:right w:val="single" w:sz="8" w:space="0" w:color="000000"/>
            </w:tcBorders>
            <w:shd w:val="clear" w:color="auto" w:fill="auto"/>
            <w:noWrap/>
            <w:hideMark/>
          </w:tcPr>
          <w:p w14:paraId="0A14830F"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Age &lt; 8 years with LDL-C:</w:t>
            </w:r>
          </w:p>
        </w:tc>
        <w:tc>
          <w:tcPr>
            <w:tcW w:w="305" w:type="dxa"/>
            <w:tcBorders>
              <w:top w:val="nil"/>
              <w:left w:val="single" w:sz="8" w:space="0" w:color="auto"/>
              <w:bottom w:val="nil"/>
              <w:right w:val="nil"/>
            </w:tcBorders>
            <w:shd w:val="clear" w:color="auto" w:fill="auto"/>
            <w:noWrap/>
            <w:vAlign w:val="bottom"/>
            <w:hideMark/>
          </w:tcPr>
          <w:p w14:paraId="4FF49F6E"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vMerge w:val="restart"/>
            <w:tcBorders>
              <w:top w:val="nil"/>
              <w:left w:val="nil"/>
              <w:bottom w:val="nil"/>
              <w:right w:val="nil"/>
            </w:tcBorders>
            <w:shd w:val="clear" w:color="auto" w:fill="auto"/>
            <w:noWrap/>
            <w:hideMark/>
          </w:tcPr>
          <w:p w14:paraId="769515A6"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o</w:t>
            </w:r>
          </w:p>
        </w:tc>
        <w:tc>
          <w:tcPr>
            <w:tcW w:w="2161" w:type="dxa"/>
            <w:vMerge w:val="restart"/>
            <w:tcBorders>
              <w:top w:val="nil"/>
              <w:left w:val="nil"/>
              <w:bottom w:val="nil"/>
              <w:right w:val="single" w:sz="8" w:space="0" w:color="auto"/>
            </w:tcBorders>
            <w:shd w:val="clear" w:color="auto" w:fill="auto"/>
            <w:hideMark/>
          </w:tcPr>
          <w:p w14:paraId="506C8793"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xml:space="preserve">130-159 mg/dL in addition to the presence of 2 high level risk factors/conditions or 1 high level and at least 2 moderate level risk factors/conditions </w:t>
            </w:r>
          </w:p>
        </w:tc>
      </w:tr>
      <w:tr w:rsidR="00EA2CA7" w:rsidRPr="001D2ADB" w14:paraId="65E39C7B" w14:textId="77777777" w:rsidTr="000D2D5E">
        <w:trPr>
          <w:trHeight w:val="432"/>
        </w:trPr>
        <w:tc>
          <w:tcPr>
            <w:tcW w:w="2098" w:type="dxa"/>
            <w:tcBorders>
              <w:top w:val="nil"/>
              <w:left w:val="single" w:sz="8" w:space="0" w:color="auto"/>
              <w:bottom w:val="nil"/>
              <w:right w:val="nil"/>
            </w:tcBorders>
            <w:shd w:val="clear" w:color="auto" w:fill="auto"/>
            <w:noWrap/>
            <w:vAlign w:val="bottom"/>
            <w:hideMark/>
          </w:tcPr>
          <w:p w14:paraId="24E8B71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38" w:type="dxa"/>
            <w:tcBorders>
              <w:top w:val="nil"/>
              <w:left w:val="single" w:sz="8" w:space="0" w:color="auto"/>
              <w:bottom w:val="nil"/>
              <w:right w:val="nil"/>
            </w:tcBorders>
            <w:shd w:val="clear" w:color="auto" w:fill="auto"/>
            <w:noWrap/>
            <w:vAlign w:val="bottom"/>
            <w:hideMark/>
          </w:tcPr>
          <w:p w14:paraId="0EC4B3B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2B2F3C76"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4E2F518F"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0858BADC"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hideMark/>
          </w:tcPr>
          <w:p w14:paraId="4F055094"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o</w:t>
            </w:r>
          </w:p>
        </w:tc>
        <w:tc>
          <w:tcPr>
            <w:tcW w:w="1875" w:type="dxa"/>
            <w:tcBorders>
              <w:top w:val="nil"/>
              <w:left w:val="nil"/>
              <w:bottom w:val="nil"/>
              <w:right w:val="nil"/>
            </w:tcBorders>
            <w:shd w:val="clear" w:color="auto" w:fill="auto"/>
            <w:noWrap/>
            <w:hideMark/>
          </w:tcPr>
          <w:p w14:paraId="19F1229F"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500 mg/dL</w:t>
            </w:r>
          </w:p>
        </w:tc>
        <w:tc>
          <w:tcPr>
            <w:tcW w:w="305" w:type="dxa"/>
            <w:tcBorders>
              <w:top w:val="nil"/>
              <w:left w:val="single" w:sz="8" w:space="0" w:color="auto"/>
              <w:bottom w:val="nil"/>
              <w:right w:val="nil"/>
            </w:tcBorders>
            <w:shd w:val="clear" w:color="auto" w:fill="auto"/>
            <w:noWrap/>
            <w:vAlign w:val="bottom"/>
            <w:hideMark/>
          </w:tcPr>
          <w:p w14:paraId="52C9F3F8"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vMerge/>
            <w:tcBorders>
              <w:top w:val="nil"/>
              <w:left w:val="nil"/>
              <w:bottom w:val="nil"/>
              <w:right w:val="nil"/>
            </w:tcBorders>
            <w:vAlign w:val="center"/>
            <w:hideMark/>
          </w:tcPr>
          <w:p w14:paraId="28A15281" w14:textId="77777777" w:rsidR="00EA2CA7" w:rsidRPr="001D2ADB" w:rsidRDefault="00EA2CA7" w:rsidP="001D2ADB">
            <w:pPr>
              <w:spacing w:after="0"/>
              <w:rPr>
                <w:rFonts w:ascii="Arial" w:eastAsia="Times New Roman" w:hAnsi="Arial" w:cs="Arial"/>
                <w:color w:val="000000"/>
              </w:rPr>
            </w:pPr>
          </w:p>
        </w:tc>
        <w:tc>
          <w:tcPr>
            <w:tcW w:w="2161" w:type="dxa"/>
            <w:vMerge/>
            <w:tcBorders>
              <w:top w:val="nil"/>
              <w:left w:val="nil"/>
              <w:bottom w:val="nil"/>
              <w:right w:val="single" w:sz="8" w:space="0" w:color="auto"/>
            </w:tcBorders>
            <w:vAlign w:val="center"/>
            <w:hideMark/>
          </w:tcPr>
          <w:p w14:paraId="4FE6D76F" w14:textId="77777777" w:rsidR="00EA2CA7" w:rsidRPr="001D2ADB" w:rsidRDefault="00EA2CA7" w:rsidP="001D2ADB">
            <w:pPr>
              <w:spacing w:after="0"/>
              <w:rPr>
                <w:rFonts w:ascii="Arial" w:eastAsia="Times New Roman" w:hAnsi="Arial" w:cs="Arial"/>
                <w:color w:val="000000"/>
              </w:rPr>
            </w:pPr>
          </w:p>
        </w:tc>
      </w:tr>
      <w:tr w:rsidR="00EA2CA7" w:rsidRPr="001D2ADB" w14:paraId="7CCF57D0" w14:textId="77777777" w:rsidTr="000D2D5E">
        <w:trPr>
          <w:trHeight w:val="300"/>
        </w:trPr>
        <w:tc>
          <w:tcPr>
            <w:tcW w:w="2098" w:type="dxa"/>
            <w:tcBorders>
              <w:top w:val="nil"/>
              <w:left w:val="single" w:sz="8" w:space="0" w:color="auto"/>
              <w:bottom w:val="nil"/>
              <w:right w:val="nil"/>
            </w:tcBorders>
            <w:shd w:val="clear" w:color="auto" w:fill="auto"/>
            <w:noWrap/>
            <w:vAlign w:val="bottom"/>
            <w:hideMark/>
          </w:tcPr>
          <w:p w14:paraId="67F70EBF"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38" w:type="dxa"/>
            <w:tcBorders>
              <w:top w:val="nil"/>
              <w:left w:val="single" w:sz="8" w:space="0" w:color="auto"/>
              <w:bottom w:val="nil"/>
              <w:right w:val="nil"/>
            </w:tcBorders>
            <w:shd w:val="clear" w:color="auto" w:fill="auto"/>
            <w:noWrap/>
            <w:vAlign w:val="bottom"/>
            <w:hideMark/>
          </w:tcPr>
          <w:p w14:paraId="0BFD9D1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1B803DD2"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21D05930"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50FA4D3E"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2D723651" w14:textId="77777777" w:rsidR="00EA2CA7" w:rsidRPr="001D2ADB" w:rsidRDefault="00EA2CA7" w:rsidP="001D2ADB">
            <w:pPr>
              <w:spacing w:after="0"/>
              <w:rPr>
                <w:rFonts w:ascii="Arial" w:eastAsia="Times New Roman" w:hAnsi="Arial" w:cs="Arial"/>
                <w:color w:val="000000"/>
              </w:rPr>
            </w:pPr>
          </w:p>
        </w:tc>
        <w:tc>
          <w:tcPr>
            <w:tcW w:w="1875" w:type="dxa"/>
            <w:tcBorders>
              <w:top w:val="nil"/>
              <w:left w:val="nil"/>
              <w:bottom w:val="nil"/>
              <w:right w:val="nil"/>
            </w:tcBorders>
            <w:shd w:val="clear" w:color="auto" w:fill="auto"/>
            <w:noWrap/>
            <w:vAlign w:val="bottom"/>
            <w:hideMark/>
          </w:tcPr>
          <w:p w14:paraId="119A7F65"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6F16017B"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3A43C9F0" w14:textId="77777777" w:rsidR="00EA2CA7" w:rsidRPr="001D2ADB" w:rsidRDefault="00EA2CA7" w:rsidP="001D2ADB">
            <w:pPr>
              <w:spacing w:after="0"/>
              <w:rPr>
                <w:rFonts w:ascii="Arial" w:eastAsia="Times New Roman" w:hAnsi="Arial" w:cs="Arial"/>
                <w:color w:val="000000"/>
              </w:rPr>
            </w:pPr>
          </w:p>
        </w:tc>
        <w:tc>
          <w:tcPr>
            <w:tcW w:w="2161" w:type="dxa"/>
            <w:vMerge/>
            <w:tcBorders>
              <w:top w:val="nil"/>
              <w:left w:val="nil"/>
              <w:bottom w:val="nil"/>
              <w:right w:val="single" w:sz="8" w:space="0" w:color="auto"/>
            </w:tcBorders>
            <w:vAlign w:val="center"/>
            <w:hideMark/>
          </w:tcPr>
          <w:p w14:paraId="55A6D893" w14:textId="77777777" w:rsidR="00EA2CA7" w:rsidRPr="001D2ADB" w:rsidRDefault="00EA2CA7" w:rsidP="001D2ADB">
            <w:pPr>
              <w:spacing w:after="0"/>
              <w:rPr>
                <w:rFonts w:ascii="Arial" w:eastAsia="Times New Roman" w:hAnsi="Arial" w:cs="Arial"/>
                <w:color w:val="000000"/>
              </w:rPr>
            </w:pPr>
          </w:p>
        </w:tc>
      </w:tr>
      <w:tr w:rsidR="00EA2CA7" w:rsidRPr="001D2ADB" w14:paraId="3B7F79E5" w14:textId="77777777" w:rsidTr="000D2D5E">
        <w:trPr>
          <w:trHeight w:val="315"/>
        </w:trPr>
        <w:tc>
          <w:tcPr>
            <w:tcW w:w="2098" w:type="dxa"/>
            <w:tcBorders>
              <w:top w:val="nil"/>
              <w:left w:val="single" w:sz="8" w:space="0" w:color="auto"/>
              <w:bottom w:val="nil"/>
              <w:right w:val="nil"/>
            </w:tcBorders>
            <w:shd w:val="clear" w:color="auto" w:fill="auto"/>
            <w:noWrap/>
            <w:vAlign w:val="bottom"/>
            <w:hideMark/>
          </w:tcPr>
          <w:p w14:paraId="3968D3A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38" w:type="dxa"/>
            <w:tcBorders>
              <w:top w:val="nil"/>
              <w:left w:val="single" w:sz="8" w:space="0" w:color="auto"/>
              <w:bottom w:val="nil"/>
              <w:right w:val="nil"/>
            </w:tcBorders>
            <w:shd w:val="clear" w:color="auto" w:fill="auto"/>
            <w:noWrap/>
            <w:vAlign w:val="bottom"/>
            <w:hideMark/>
          </w:tcPr>
          <w:p w14:paraId="058C88B6"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7B6555D3"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799A8A31"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38B47476"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7DE493AD" w14:textId="77777777" w:rsidR="00EA2CA7" w:rsidRPr="001D2ADB" w:rsidRDefault="00EA2CA7" w:rsidP="001D2ADB">
            <w:pPr>
              <w:spacing w:after="0"/>
              <w:rPr>
                <w:rFonts w:ascii="Arial" w:eastAsia="Times New Roman" w:hAnsi="Arial" w:cs="Arial"/>
                <w:color w:val="000000"/>
              </w:rPr>
            </w:pPr>
          </w:p>
        </w:tc>
        <w:tc>
          <w:tcPr>
            <w:tcW w:w="1875" w:type="dxa"/>
            <w:tcBorders>
              <w:top w:val="nil"/>
              <w:left w:val="nil"/>
              <w:bottom w:val="nil"/>
              <w:right w:val="nil"/>
            </w:tcBorders>
            <w:shd w:val="clear" w:color="auto" w:fill="auto"/>
            <w:noWrap/>
            <w:vAlign w:val="bottom"/>
            <w:hideMark/>
          </w:tcPr>
          <w:p w14:paraId="4502589F"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060EA082"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7A305F68" w14:textId="77777777" w:rsidR="00EA2CA7" w:rsidRPr="001D2ADB" w:rsidRDefault="00EA2CA7" w:rsidP="001D2ADB">
            <w:pPr>
              <w:spacing w:after="0"/>
              <w:rPr>
                <w:rFonts w:ascii="Arial" w:eastAsia="Times New Roman" w:hAnsi="Arial" w:cs="Arial"/>
                <w:color w:val="000000"/>
              </w:rPr>
            </w:pPr>
          </w:p>
        </w:tc>
        <w:tc>
          <w:tcPr>
            <w:tcW w:w="2161" w:type="dxa"/>
            <w:vMerge/>
            <w:tcBorders>
              <w:top w:val="nil"/>
              <w:left w:val="nil"/>
              <w:bottom w:val="nil"/>
              <w:right w:val="single" w:sz="8" w:space="0" w:color="auto"/>
            </w:tcBorders>
            <w:vAlign w:val="center"/>
            <w:hideMark/>
          </w:tcPr>
          <w:p w14:paraId="2CC92439" w14:textId="77777777" w:rsidR="00EA2CA7" w:rsidRPr="001D2ADB" w:rsidRDefault="00EA2CA7" w:rsidP="001D2ADB">
            <w:pPr>
              <w:spacing w:after="0"/>
              <w:rPr>
                <w:rFonts w:ascii="Arial" w:eastAsia="Times New Roman" w:hAnsi="Arial" w:cs="Arial"/>
                <w:color w:val="000000"/>
              </w:rPr>
            </w:pPr>
          </w:p>
        </w:tc>
      </w:tr>
      <w:tr w:rsidR="00EA2CA7" w:rsidRPr="001D2ADB" w14:paraId="2C14E25F" w14:textId="77777777" w:rsidTr="000D2D5E">
        <w:trPr>
          <w:trHeight w:val="300"/>
        </w:trPr>
        <w:tc>
          <w:tcPr>
            <w:tcW w:w="2098" w:type="dxa"/>
            <w:tcBorders>
              <w:top w:val="nil"/>
              <w:left w:val="single" w:sz="8" w:space="0" w:color="auto"/>
              <w:bottom w:val="nil"/>
              <w:right w:val="nil"/>
            </w:tcBorders>
            <w:shd w:val="clear" w:color="auto" w:fill="auto"/>
            <w:noWrap/>
            <w:vAlign w:val="bottom"/>
            <w:hideMark/>
          </w:tcPr>
          <w:p w14:paraId="24742235"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38" w:type="dxa"/>
            <w:tcBorders>
              <w:top w:val="nil"/>
              <w:left w:val="single" w:sz="8" w:space="0" w:color="auto"/>
              <w:bottom w:val="nil"/>
              <w:right w:val="nil"/>
            </w:tcBorders>
            <w:shd w:val="clear" w:color="auto" w:fill="auto"/>
            <w:noWrap/>
            <w:vAlign w:val="bottom"/>
            <w:hideMark/>
          </w:tcPr>
          <w:p w14:paraId="165100D5"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3C9999FC"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6BB531A2"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213E12EF"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656910B2" w14:textId="77777777" w:rsidR="00EA2CA7" w:rsidRPr="001D2ADB" w:rsidRDefault="00EA2CA7" w:rsidP="001D2ADB">
            <w:pPr>
              <w:spacing w:after="0"/>
              <w:rPr>
                <w:rFonts w:ascii="Arial" w:eastAsia="Times New Roman" w:hAnsi="Arial" w:cs="Arial"/>
                <w:color w:val="000000"/>
              </w:rPr>
            </w:pPr>
          </w:p>
        </w:tc>
        <w:tc>
          <w:tcPr>
            <w:tcW w:w="1875" w:type="dxa"/>
            <w:tcBorders>
              <w:top w:val="nil"/>
              <w:left w:val="nil"/>
              <w:bottom w:val="nil"/>
              <w:right w:val="nil"/>
            </w:tcBorders>
            <w:shd w:val="clear" w:color="auto" w:fill="auto"/>
            <w:noWrap/>
            <w:vAlign w:val="bottom"/>
            <w:hideMark/>
          </w:tcPr>
          <w:p w14:paraId="0AB26D82"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hideMark/>
          </w:tcPr>
          <w:p w14:paraId="7A1FDCD4"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w:t>
            </w:r>
          </w:p>
        </w:tc>
        <w:tc>
          <w:tcPr>
            <w:tcW w:w="2471" w:type="dxa"/>
            <w:gridSpan w:val="2"/>
            <w:vMerge w:val="restart"/>
            <w:tcBorders>
              <w:top w:val="nil"/>
              <w:left w:val="nil"/>
              <w:bottom w:val="nil"/>
              <w:right w:val="single" w:sz="4" w:space="0" w:color="auto"/>
            </w:tcBorders>
            <w:shd w:val="clear" w:color="auto" w:fill="auto"/>
            <w:hideMark/>
          </w:tcPr>
          <w:p w14:paraId="3367B198"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Age &lt; 10 years with severe hyperlipidemia or high-risk conditions associated with serious morbidity</w:t>
            </w:r>
          </w:p>
        </w:tc>
      </w:tr>
      <w:tr w:rsidR="00EA2CA7" w:rsidRPr="001D2ADB" w14:paraId="463531F0" w14:textId="77777777" w:rsidTr="000D2D5E">
        <w:trPr>
          <w:trHeight w:val="435"/>
        </w:trPr>
        <w:tc>
          <w:tcPr>
            <w:tcW w:w="2098" w:type="dxa"/>
            <w:tcBorders>
              <w:top w:val="nil"/>
              <w:left w:val="single" w:sz="8" w:space="0" w:color="auto"/>
              <w:bottom w:val="nil"/>
              <w:right w:val="nil"/>
            </w:tcBorders>
            <w:shd w:val="clear" w:color="auto" w:fill="auto"/>
            <w:noWrap/>
            <w:vAlign w:val="bottom"/>
            <w:hideMark/>
          </w:tcPr>
          <w:p w14:paraId="383D1B4C"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38" w:type="dxa"/>
            <w:tcBorders>
              <w:top w:val="nil"/>
              <w:left w:val="single" w:sz="8" w:space="0" w:color="auto"/>
              <w:bottom w:val="nil"/>
              <w:right w:val="nil"/>
            </w:tcBorders>
            <w:shd w:val="clear" w:color="auto" w:fill="auto"/>
            <w:noWrap/>
            <w:vAlign w:val="bottom"/>
            <w:hideMark/>
          </w:tcPr>
          <w:p w14:paraId="1B4D02B6"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746DBA42"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308F7462"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0A709791"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1C733F7D" w14:textId="77777777" w:rsidR="00EA2CA7" w:rsidRPr="001D2ADB" w:rsidRDefault="00EA2CA7" w:rsidP="001D2ADB">
            <w:pPr>
              <w:spacing w:after="0"/>
              <w:rPr>
                <w:rFonts w:ascii="Arial" w:eastAsia="Times New Roman" w:hAnsi="Arial" w:cs="Arial"/>
                <w:color w:val="000000"/>
              </w:rPr>
            </w:pPr>
          </w:p>
        </w:tc>
        <w:tc>
          <w:tcPr>
            <w:tcW w:w="1875" w:type="dxa"/>
            <w:tcBorders>
              <w:top w:val="nil"/>
              <w:left w:val="nil"/>
              <w:bottom w:val="nil"/>
              <w:right w:val="nil"/>
            </w:tcBorders>
            <w:shd w:val="clear" w:color="auto" w:fill="auto"/>
            <w:noWrap/>
            <w:vAlign w:val="bottom"/>
            <w:hideMark/>
          </w:tcPr>
          <w:p w14:paraId="0C575F87"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tcBorders>
            <w:shd w:val="clear" w:color="auto" w:fill="auto"/>
            <w:noWrap/>
            <w:vAlign w:val="bottom"/>
            <w:hideMark/>
          </w:tcPr>
          <w:p w14:paraId="0EF86B9A"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471" w:type="dxa"/>
            <w:gridSpan w:val="2"/>
            <w:vMerge/>
            <w:tcBorders>
              <w:top w:val="nil"/>
              <w:bottom w:val="nil"/>
              <w:right w:val="single" w:sz="4" w:space="0" w:color="auto"/>
            </w:tcBorders>
            <w:vAlign w:val="center"/>
            <w:hideMark/>
          </w:tcPr>
          <w:p w14:paraId="6B44B734" w14:textId="77777777" w:rsidR="00EA2CA7" w:rsidRPr="001D2ADB" w:rsidRDefault="00EA2CA7" w:rsidP="001D2ADB">
            <w:pPr>
              <w:spacing w:after="0"/>
              <w:rPr>
                <w:rFonts w:ascii="Arial" w:eastAsia="Times New Roman" w:hAnsi="Arial" w:cs="Arial"/>
                <w:color w:val="000000"/>
              </w:rPr>
            </w:pPr>
          </w:p>
        </w:tc>
      </w:tr>
      <w:tr w:rsidR="00EA2CA7" w:rsidRPr="001D2ADB" w14:paraId="3E2FE302" w14:textId="77777777" w:rsidTr="000D2D5E">
        <w:trPr>
          <w:trHeight w:val="135"/>
        </w:trPr>
        <w:tc>
          <w:tcPr>
            <w:tcW w:w="2098" w:type="dxa"/>
            <w:tcBorders>
              <w:top w:val="nil"/>
              <w:left w:val="single" w:sz="8" w:space="0" w:color="auto"/>
              <w:bottom w:val="nil"/>
              <w:right w:val="nil"/>
            </w:tcBorders>
            <w:shd w:val="clear" w:color="auto" w:fill="auto"/>
            <w:noWrap/>
            <w:vAlign w:val="bottom"/>
            <w:hideMark/>
          </w:tcPr>
          <w:p w14:paraId="01C99B55" w14:textId="77777777" w:rsidR="00EA2CA7" w:rsidRPr="001D2ADB" w:rsidRDefault="00EA2CA7" w:rsidP="001D2ADB">
            <w:pPr>
              <w:spacing w:after="0"/>
              <w:rPr>
                <w:rFonts w:ascii="Arial" w:eastAsia="Times New Roman" w:hAnsi="Arial" w:cs="Arial"/>
                <w:color w:val="000000"/>
              </w:rPr>
            </w:pPr>
          </w:p>
        </w:tc>
        <w:tc>
          <w:tcPr>
            <w:tcW w:w="238" w:type="dxa"/>
            <w:tcBorders>
              <w:top w:val="nil"/>
              <w:left w:val="single" w:sz="8" w:space="0" w:color="auto"/>
              <w:bottom w:val="nil"/>
              <w:right w:val="nil"/>
            </w:tcBorders>
            <w:shd w:val="clear" w:color="auto" w:fill="auto"/>
            <w:noWrap/>
            <w:vAlign w:val="bottom"/>
            <w:hideMark/>
          </w:tcPr>
          <w:p w14:paraId="2E58C8DF"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1F1EE750"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7F9C9970"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35B7526D"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54E1F970" w14:textId="77777777" w:rsidR="00EA2CA7" w:rsidRPr="001D2ADB" w:rsidRDefault="00EA2CA7" w:rsidP="001D2ADB">
            <w:pPr>
              <w:spacing w:after="0"/>
              <w:rPr>
                <w:rFonts w:ascii="Arial" w:eastAsia="Times New Roman" w:hAnsi="Arial" w:cs="Arial"/>
                <w:color w:val="000000"/>
              </w:rPr>
            </w:pPr>
          </w:p>
        </w:tc>
        <w:tc>
          <w:tcPr>
            <w:tcW w:w="1875" w:type="dxa"/>
            <w:tcBorders>
              <w:top w:val="nil"/>
              <w:left w:val="nil"/>
              <w:bottom w:val="nil"/>
              <w:right w:val="nil"/>
            </w:tcBorders>
            <w:shd w:val="clear" w:color="auto" w:fill="auto"/>
            <w:noWrap/>
            <w:vAlign w:val="bottom"/>
            <w:hideMark/>
          </w:tcPr>
          <w:p w14:paraId="7C2B0F5B"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tcBorders>
            <w:shd w:val="clear" w:color="auto" w:fill="auto"/>
            <w:noWrap/>
            <w:vAlign w:val="bottom"/>
            <w:hideMark/>
          </w:tcPr>
          <w:p w14:paraId="1AF915D0"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471" w:type="dxa"/>
            <w:gridSpan w:val="2"/>
            <w:vMerge/>
            <w:tcBorders>
              <w:top w:val="nil"/>
              <w:right w:val="single" w:sz="4" w:space="0" w:color="auto"/>
            </w:tcBorders>
            <w:vAlign w:val="center"/>
            <w:hideMark/>
          </w:tcPr>
          <w:p w14:paraId="60C69ADC" w14:textId="77777777" w:rsidR="00EA2CA7" w:rsidRPr="001D2ADB" w:rsidRDefault="00EA2CA7" w:rsidP="001D2ADB">
            <w:pPr>
              <w:spacing w:after="0"/>
              <w:rPr>
                <w:rFonts w:ascii="Arial" w:eastAsia="Times New Roman" w:hAnsi="Arial" w:cs="Arial"/>
                <w:color w:val="000000"/>
              </w:rPr>
            </w:pPr>
          </w:p>
        </w:tc>
      </w:tr>
      <w:tr w:rsidR="00EA2CA7" w:rsidRPr="001D2ADB" w14:paraId="2B8D6A89" w14:textId="77777777" w:rsidTr="000D2D5E">
        <w:trPr>
          <w:trHeight w:val="300"/>
        </w:trPr>
        <w:tc>
          <w:tcPr>
            <w:tcW w:w="2098" w:type="dxa"/>
            <w:vMerge w:val="restart"/>
            <w:tcBorders>
              <w:top w:val="nil"/>
              <w:left w:val="single" w:sz="8" w:space="0" w:color="auto"/>
              <w:bottom w:val="single" w:sz="8" w:space="0" w:color="000000"/>
              <w:right w:val="single" w:sz="8" w:space="0" w:color="auto"/>
            </w:tcBorders>
            <w:shd w:val="clear" w:color="auto" w:fill="auto"/>
            <w:vAlign w:val="bottom"/>
            <w:hideMark/>
          </w:tcPr>
          <w:p w14:paraId="4E248B95"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*After an adequate trial of diet and lifestyle management.</w:t>
            </w:r>
          </w:p>
        </w:tc>
        <w:tc>
          <w:tcPr>
            <w:tcW w:w="238" w:type="dxa"/>
            <w:tcBorders>
              <w:top w:val="nil"/>
              <w:left w:val="single" w:sz="8" w:space="0" w:color="auto"/>
              <w:bottom w:val="nil"/>
              <w:right w:val="nil"/>
            </w:tcBorders>
            <w:shd w:val="clear" w:color="auto" w:fill="auto"/>
            <w:noWrap/>
            <w:vAlign w:val="bottom"/>
            <w:hideMark/>
          </w:tcPr>
          <w:p w14:paraId="6B0BB462"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3B140AF7"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0AF566D9"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03774064"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10EE0097" w14:textId="77777777" w:rsidR="00EA2CA7" w:rsidRPr="001D2ADB" w:rsidRDefault="00EA2CA7" w:rsidP="001D2ADB">
            <w:pPr>
              <w:spacing w:after="0"/>
              <w:rPr>
                <w:rFonts w:ascii="Arial" w:eastAsia="Times New Roman" w:hAnsi="Arial" w:cs="Arial"/>
                <w:color w:val="000000"/>
              </w:rPr>
            </w:pPr>
          </w:p>
        </w:tc>
        <w:tc>
          <w:tcPr>
            <w:tcW w:w="1875" w:type="dxa"/>
            <w:tcBorders>
              <w:top w:val="nil"/>
              <w:left w:val="nil"/>
              <w:bottom w:val="nil"/>
              <w:right w:val="nil"/>
            </w:tcBorders>
            <w:shd w:val="clear" w:color="auto" w:fill="auto"/>
            <w:noWrap/>
            <w:vAlign w:val="bottom"/>
            <w:hideMark/>
          </w:tcPr>
          <w:p w14:paraId="1599668B"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hideMark/>
          </w:tcPr>
          <w:p w14:paraId="38FF9320"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w:t>
            </w:r>
          </w:p>
        </w:tc>
        <w:tc>
          <w:tcPr>
            <w:tcW w:w="2471" w:type="dxa"/>
            <w:gridSpan w:val="2"/>
            <w:vMerge w:val="restart"/>
            <w:tcBorders>
              <w:top w:val="nil"/>
              <w:left w:val="nil"/>
              <w:bottom w:val="single" w:sz="8" w:space="0" w:color="auto"/>
              <w:right w:val="single" w:sz="8" w:space="0" w:color="auto"/>
            </w:tcBorders>
            <w:shd w:val="clear" w:color="auto" w:fill="auto"/>
            <w:hideMark/>
          </w:tcPr>
          <w:p w14:paraId="3FBC080B"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Ages 8-9 years with LDL-C levels consistently ≥ 190 mg/dL in addition to a positive family history OR presence of risk factors</w:t>
            </w:r>
          </w:p>
        </w:tc>
      </w:tr>
      <w:tr w:rsidR="00EA2CA7" w:rsidRPr="001D2ADB" w14:paraId="692C0C1F" w14:textId="77777777" w:rsidTr="000D2D5E">
        <w:trPr>
          <w:trHeight w:val="300"/>
        </w:trPr>
        <w:tc>
          <w:tcPr>
            <w:tcW w:w="2098" w:type="dxa"/>
            <w:vMerge/>
            <w:tcBorders>
              <w:top w:val="nil"/>
              <w:left w:val="single" w:sz="8" w:space="0" w:color="auto"/>
              <w:bottom w:val="single" w:sz="8" w:space="0" w:color="000000"/>
              <w:right w:val="single" w:sz="8" w:space="0" w:color="auto"/>
            </w:tcBorders>
            <w:vAlign w:val="center"/>
            <w:hideMark/>
          </w:tcPr>
          <w:p w14:paraId="6B3CC9C2" w14:textId="77777777" w:rsidR="00EA2CA7" w:rsidRPr="001D2ADB" w:rsidRDefault="00EA2CA7" w:rsidP="001D2ADB">
            <w:pPr>
              <w:spacing w:after="0"/>
              <w:rPr>
                <w:rFonts w:ascii="Arial" w:eastAsia="Times New Roman" w:hAnsi="Arial" w:cs="Arial"/>
                <w:color w:val="000000"/>
              </w:rPr>
            </w:pPr>
          </w:p>
        </w:tc>
        <w:tc>
          <w:tcPr>
            <w:tcW w:w="238" w:type="dxa"/>
            <w:tcBorders>
              <w:top w:val="nil"/>
              <w:left w:val="single" w:sz="8" w:space="0" w:color="auto"/>
              <w:bottom w:val="nil"/>
              <w:right w:val="nil"/>
            </w:tcBorders>
            <w:shd w:val="clear" w:color="auto" w:fill="auto"/>
            <w:noWrap/>
            <w:vAlign w:val="bottom"/>
            <w:hideMark/>
          </w:tcPr>
          <w:p w14:paraId="1614F5F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3D2CBA28"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77EE578F"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0DA210A6"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1D6561FC" w14:textId="77777777" w:rsidR="00EA2CA7" w:rsidRPr="001D2ADB" w:rsidRDefault="00EA2CA7" w:rsidP="001D2ADB">
            <w:pPr>
              <w:spacing w:after="0"/>
              <w:rPr>
                <w:rFonts w:ascii="Arial" w:eastAsia="Times New Roman" w:hAnsi="Arial" w:cs="Arial"/>
                <w:color w:val="000000"/>
              </w:rPr>
            </w:pPr>
          </w:p>
        </w:tc>
        <w:tc>
          <w:tcPr>
            <w:tcW w:w="1875" w:type="dxa"/>
            <w:tcBorders>
              <w:top w:val="nil"/>
              <w:left w:val="nil"/>
              <w:bottom w:val="nil"/>
              <w:right w:val="nil"/>
            </w:tcBorders>
            <w:shd w:val="clear" w:color="auto" w:fill="auto"/>
            <w:noWrap/>
            <w:vAlign w:val="bottom"/>
            <w:hideMark/>
          </w:tcPr>
          <w:p w14:paraId="556CC46E"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tcBorders>
            <w:shd w:val="clear" w:color="auto" w:fill="auto"/>
            <w:noWrap/>
            <w:vAlign w:val="bottom"/>
            <w:hideMark/>
          </w:tcPr>
          <w:p w14:paraId="48B89F8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471" w:type="dxa"/>
            <w:gridSpan w:val="2"/>
            <w:vMerge/>
            <w:tcBorders>
              <w:top w:val="nil"/>
              <w:bottom w:val="single" w:sz="8" w:space="0" w:color="auto"/>
              <w:right w:val="single" w:sz="8" w:space="0" w:color="auto"/>
            </w:tcBorders>
            <w:vAlign w:val="center"/>
            <w:hideMark/>
          </w:tcPr>
          <w:p w14:paraId="6DCCE9A3" w14:textId="77777777" w:rsidR="00EA2CA7" w:rsidRPr="001D2ADB" w:rsidRDefault="00EA2CA7" w:rsidP="001D2ADB">
            <w:pPr>
              <w:spacing w:after="0"/>
              <w:rPr>
                <w:rFonts w:ascii="Arial" w:eastAsia="Times New Roman" w:hAnsi="Arial" w:cs="Arial"/>
                <w:color w:val="000000"/>
              </w:rPr>
            </w:pPr>
          </w:p>
        </w:tc>
      </w:tr>
      <w:tr w:rsidR="00EA2CA7" w:rsidRPr="001D2ADB" w14:paraId="77036B92" w14:textId="77777777" w:rsidTr="000D2D5E">
        <w:trPr>
          <w:trHeight w:val="300"/>
        </w:trPr>
        <w:tc>
          <w:tcPr>
            <w:tcW w:w="2098" w:type="dxa"/>
            <w:vMerge/>
            <w:tcBorders>
              <w:top w:val="nil"/>
              <w:left w:val="single" w:sz="8" w:space="0" w:color="auto"/>
              <w:bottom w:val="single" w:sz="8" w:space="0" w:color="000000"/>
              <w:right w:val="single" w:sz="8" w:space="0" w:color="auto"/>
            </w:tcBorders>
            <w:vAlign w:val="center"/>
            <w:hideMark/>
          </w:tcPr>
          <w:p w14:paraId="59D9EF7B" w14:textId="77777777" w:rsidR="00EA2CA7" w:rsidRPr="001D2ADB" w:rsidRDefault="00EA2CA7" w:rsidP="001D2ADB">
            <w:pPr>
              <w:spacing w:after="0"/>
              <w:rPr>
                <w:rFonts w:ascii="Arial" w:eastAsia="Times New Roman" w:hAnsi="Arial" w:cs="Arial"/>
                <w:color w:val="000000"/>
              </w:rPr>
            </w:pPr>
          </w:p>
        </w:tc>
        <w:tc>
          <w:tcPr>
            <w:tcW w:w="238" w:type="dxa"/>
            <w:tcBorders>
              <w:top w:val="nil"/>
              <w:left w:val="single" w:sz="8" w:space="0" w:color="auto"/>
              <w:bottom w:val="nil"/>
              <w:right w:val="nil"/>
            </w:tcBorders>
            <w:shd w:val="clear" w:color="auto" w:fill="auto"/>
            <w:noWrap/>
            <w:vAlign w:val="bottom"/>
            <w:hideMark/>
          </w:tcPr>
          <w:p w14:paraId="18C522F1"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5DDA488C"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1A1E0A43"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noWrap/>
            <w:vAlign w:val="bottom"/>
            <w:hideMark/>
          </w:tcPr>
          <w:p w14:paraId="0D7C794B"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7B45FAA0" w14:textId="77777777" w:rsidR="00EA2CA7" w:rsidRPr="001D2ADB" w:rsidRDefault="00EA2CA7" w:rsidP="001D2ADB">
            <w:pPr>
              <w:spacing w:after="0"/>
              <w:rPr>
                <w:rFonts w:ascii="Arial" w:eastAsia="Times New Roman" w:hAnsi="Arial" w:cs="Arial"/>
                <w:color w:val="000000"/>
              </w:rPr>
            </w:pPr>
          </w:p>
        </w:tc>
        <w:tc>
          <w:tcPr>
            <w:tcW w:w="1875" w:type="dxa"/>
            <w:tcBorders>
              <w:top w:val="nil"/>
              <w:left w:val="nil"/>
              <w:bottom w:val="nil"/>
              <w:right w:val="nil"/>
            </w:tcBorders>
            <w:shd w:val="clear" w:color="auto" w:fill="auto"/>
            <w:noWrap/>
            <w:vAlign w:val="bottom"/>
            <w:hideMark/>
          </w:tcPr>
          <w:p w14:paraId="46ACB7CC"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tcBorders>
            <w:shd w:val="clear" w:color="auto" w:fill="auto"/>
            <w:noWrap/>
            <w:vAlign w:val="bottom"/>
            <w:hideMark/>
          </w:tcPr>
          <w:p w14:paraId="6B13E7B2"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471" w:type="dxa"/>
            <w:gridSpan w:val="2"/>
            <w:vMerge/>
            <w:tcBorders>
              <w:top w:val="nil"/>
              <w:bottom w:val="single" w:sz="8" w:space="0" w:color="auto"/>
              <w:right w:val="single" w:sz="8" w:space="0" w:color="auto"/>
            </w:tcBorders>
            <w:vAlign w:val="center"/>
            <w:hideMark/>
          </w:tcPr>
          <w:p w14:paraId="75AC88A7" w14:textId="77777777" w:rsidR="00EA2CA7" w:rsidRPr="001D2ADB" w:rsidRDefault="00EA2CA7" w:rsidP="001D2ADB">
            <w:pPr>
              <w:spacing w:after="0"/>
              <w:rPr>
                <w:rFonts w:ascii="Arial" w:eastAsia="Times New Roman" w:hAnsi="Arial" w:cs="Arial"/>
                <w:color w:val="000000"/>
              </w:rPr>
            </w:pPr>
          </w:p>
        </w:tc>
      </w:tr>
      <w:tr w:rsidR="00EA2CA7" w:rsidRPr="001D2ADB" w14:paraId="2240579E" w14:textId="77777777" w:rsidTr="000D2D5E">
        <w:trPr>
          <w:trHeight w:val="60"/>
        </w:trPr>
        <w:tc>
          <w:tcPr>
            <w:tcW w:w="2098" w:type="dxa"/>
            <w:vMerge/>
            <w:tcBorders>
              <w:top w:val="nil"/>
              <w:left w:val="single" w:sz="8" w:space="0" w:color="auto"/>
              <w:bottom w:val="single" w:sz="8" w:space="0" w:color="000000"/>
              <w:right w:val="single" w:sz="8" w:space="0" w:color="auto"/>
            </w:tcBorders>
            <w:vAlign w:val="center"/>
            <w:hideMark/>
          </w:tcPr>
          <w:p w14:paraId="5942B873" w14:textId="77777777" w:rsidR="00EA2CA7" w:rsidRPr="001D2ADB" w:rsidRDefault="00EA2CA7" w:rsidP="001D2ADB">
            <w:pPr>
              <w:spacing w:after="0"/>
              <w:rPr>
                <w:rFonts w:ascii="Arial" w:eastAsia="Times New Roman" w:hAnsi="Arial" w:cs="Arial"/>
                <w:color w:val="000000"/>
              </w:rPr>
            </w:pPr>
          </w:p>
        </w:tc>
        <w:tc>
          <w:tcPr>
            <w:tcW w:w="238" w:type="dxa"/>
            <w:tcBorders>
              <w:top w:val="nil"/>
              <w:left w:val="nil"/>
              <w:bottom w:val="single" w:sz="8" w:space="0" w:color="auto"/>
              <w:right w:val="nil"/>
            </w:tcBorders>
            <w:shd w:val="clear" w:color="auto" w:fill="auto"/>
            <w:noWrap/>
            <w:vAlign w:val="bottom"/>
            <w:hideMark/>
          </w:tcPr>
          <w:p w14:paraId="6FAAE9B8"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single" w:sz="8" w:space="0" w:color="auto"/>
              <w:right w:val="nil"/>
            </w:tcBorders>
            <w:shd w:val="clear" w:color="auto" w:fill="auto"/>
            <w:noWrap/>
            <w:vAlign w:val="bottom"/>
            <w:hideMark/>
          </w:tcPr>
          <w:p w14:paraId="0AD51ECC"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124" w:type="dxa"/>
            <w:tcBorders>
              <w:top w:val="nil"/>
              <w:left w:val="nil"/>
              <w:bottom w:val="single" w:sz="8" w:space="0" w:color="auto"/>
              <w:right w:val="nil"/>
            </w:tcBorders>
            <w:shd w:val="clear" w:color="auto" w:fill="auto"/>
            <w:noWrap/>
            <w:vAlign w:val="bottom"/>
            <w:hideMark/>
          </w:tcPr>
          <w:p w14:paraId="2D0B41C4"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05" w:type="dxa"/>
            <w:tcBorders>
              <w:top w:val="nil"/>
              <w:left w:val="single" w:sz="8" w:space="0" w:color="auto"/>
              <w:bottom w:val="single" w:sz="8" w:space="0" w:color="auto"/>
              <w:right w:val="nil"/>
            </w:tcBorders>
            <w:shd w:val="clear" w:color="auto" w:fill="auto"/>
            <w:noWrap/>
            <w:vAlign w:val="bottom"/>
            <w:hideMark/>
          </w:tcPr>
          <w:p w14:paraId="23E6C4E3"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single" w:sz="8" w:space="0" w:color="auto"/>
              <w:right w:val="nil"/>
            </w:tcBorders>
            <w:shd w:val="clear" w:color="auto" w:fill="auto"/>
            <w:noWrap/>
            <w:vAlign w:val="bottom"/>
            <w:hideMark/>
          </w:tcPr>
          <w:p w14:paraId="671BF348"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1875" w:type="dxa"/>
            <w:tcBorders>
              <w:top w:val="nil"/>
              <w:left w:val="nil"/>
              <w:bottom w:val="single" w:sz="8" w:space="0" w:color="auto"/>
              <w:right w:val="nil"/>
            </w:tcBorders>
            <w:shd w:val="clear" w:color="auto" w:fill="auto"/>
            <w:noWrap/>
            <w:vAlign w:val="bottom"/>
            <w:hideMark/>
          </w:tcPr>
          <w:p w14:paraId="3651018D"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05" w:type="dxa"/>
            <w:tcBorders>
              <w:top w:val="nil"/>
              <w:left w:val="single" w:sz="8" w:space="0" w:color="auto"/>
              <w:bottom w:val="single" w:sz="8" w:space="0" w:color="auto"/>
            </w:tcBorders>
            <w:shd w:val="clear" w:color="auto" w:fill="auto"/>
            <w:noWrap/>
            <w:vAlign w:val="bottom"/>
            <w:hideMark/>
          </w:tcPr>
          <w:p w14:paraId="5CB54361"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471" w:type="dxa"/>
            <w:gridSpan w:val="2"/>
            <w:vMerge/>
            <w:tcBorders>
              <w:top w:val="nil"/>
              <w:bottom w:val="single" w:sz="8" w:space="0" w:color="auto"/>
              <w:right w:val="single" w:sz="8" w:space="0" w:color="auto"/>
            </w:tcBorders>
            <w:vAlign w:val="center"/>
            <w:hideMark/>
          </w:tcPr>
          <w:p w14:paraId="30E6D32E" w14:textId="77777777" w:rsidR="00EA2CA7" w:rsidRPr="001D2ADB" w:rsidRDefault="00EA2CA7" w:rsidP="001D2ADB">
            <w:pPr>
              <w:spacing w:after="0"/>
              <w:rPr>
                <w:rFonts w:ascii="Arial" w:eastAsia="Times New Roman" w:hAnsi="Arial" w:cs="Arial"/>
                <w:color w:val="000000"/>
              </w:rPr>
            </w:pPr>
          </w:p>
        </w:tc>
      </w:tr>
      <w:tr w:rsidR="00EA2CA7" w:rsidRPr="001D2ADB" w14:paraId="7BBFA3B3" w14:textId="77777777" w:rsidTr="000D2D5E">
        <w:trPr>
          <w:trHeight w:val="300"/>
        </w:trPr>
        <w:tc>
          <w:tcPr>
            <w:tcW w:w="2098" w:type="dxa"/>
            <w:vMerge w:val="restart"/>
            <w:tcBorders>
              <w:top w:val="nil"/>
              <w:left w:val="single" w:sz="8" w:space="0" w:color="auto"/>
              <w:bottom w:val="single" w:sz="8" w:space="0" w:color="000000"/>
              <w:right w:val="nil"/>
            </w:tcBorders>
            <w:shd w:val="clear" w:color="auto" w:fill="auto"/>
            <w:hideMark/>
          </w:tcPr>
          <w:p w14:paraId="196DFBF4"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Pharmacologic Medication Recommendations</w:t>
            </w:r>
          </w:p>
        </w:tc>
        <w:tc>
          <w:tcPr>
            <w:tcW w:w="238" w:type="dxa"/>
            <w:tcBorders>
              <w:top w:val="nil"/>
              <w:left w:val="single" w:sz="8" w:space="0" w:color="auto"/>
              <w:bottom w:val="nil"/>
              <w:right w:val="nil"/>
            </w:tcBorders>
            <w:shd w:val="clear" w:color="auto" w:fill="auto"/>
            <w:hideMark/>
          </w:tcPr>
          <w:p w14:paraId="2B6771EB"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w:t>
            </w:r>
          </w:p>
        </w:tc>
        <w:tc>
          <w:tcPr>
            <w:tcW w:w="2434" w:type="dxa"/>
            <w:gridSpan w:val="2"/>
            <w:tcBorders>
              <w:top w:val="single" w:sz="8" w:space="0" w:color="auto"/>
              <w:left w:val="nil"/>
              <w:bottom w:val="nil"/>
              <w:right w:val="nil"/>
            </w:tcBorders>
            <w:shd w:val="clear" w:color="auto" w:fill="auto"/>
            <w:noWrap/>
            <w:hideMark/>
          </w:tcPr>
          <w:p w14:paraId="3A8A19A4"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xml:space="preserve">Bile acid sequestrants </w:t>
            </w:r>
          </w:p>
        </w:tc>
        <w:tc>
          <w:tcPr>
            <w:tcW w:w="305" w:type="dxa"/>
            <w:tcBorders>
              <w:top w:val="nil"/>
              <w:left w:val="single" w:sz="8" w:space="0" w:color="auto"/>
              <w:bottom w:val="nil"/>
              <w:right w:val="nil"/>
            </w:tcBorders>
            <w:shd w:val="clear" w:color="auto" w:fill="auto"/>
            <w:hideMark/>
          </w:tcPr>
          <w:p w14:paraId="5F06772D"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w:t>
            </w:r>
          </w:p>
        </w:tc>
        <w:tc>
          <w:tcPr>
            <w:tcW w:w="2185" w:type="dxa"/>
            <w:gridSpan w:val="2"/>
            <w:tcBorders>
              <w:top w:val="single" w:sz="8" w:space="0" w:color="auto"/>
              <w:left w:val="nil"/>
              <w:bottom w:val="nil"/>
              <w:right w:val="nil"/>
            </w:tcBorders>
            <w:shd w:val="clear" w:color="auto" w:fill="auto"/>
            <w:noWrap/>
            <w:hideMark/>
          </w:tcPr>
          <w:p w14:paraId="1616E7F2"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xml:space="preserve">Bile acid sequestrants </w:t>
            </w:r>
          </w:p>
        </w:tc>
        <w:tc>
          <w:tcPr>
            <w:tcW w:w="305" w:type="dxa"/>
            <w:tcBorders>
              <w:top w:val="nil"/>
              <w:left w:val="single" w:sz="8" w:space="0" w:color="auto"/>
              <w:bottom w:val="nil"/>
              <w:right w:val="nil"/>
            </w:tcBorders>
            <w:shd w:val="clear" w:color="auto" w:fill="auto"/>
            <w:hideMark/>
          </w:tcPr>
          <w:p w14:paraId="07CCE64A"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w:t>
            </w:r>
          </w:p>
        </w:tc>
        <w:tc>
          <w:tcPr>
            <w:tcW w:w="2471" w:type="dxa"/>
            <w:gridSpan w:val="2"/>
            <w:tcBorders>
              <w:top w:val="single" w:sz="8" w:space="0" w:color="auto"/>
              <w:left w:val="nil"/>
              <w:bottom w:val="nil"/>
              <w:right w:val="single" w:sz="8" w:space="0" w:color="000000"/>
            </w:tcBorders>
            <w:shd w:val="clear" w:color="auto" w:fill="auto"/>
            <w:noWrap/>
            <w:hideMark/>
          </w:tcPr>
          <w:p w14:paraId="5AAB6146"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Statins</w:t>
            </w:r>
          </w:p>
        </w:tc>
      </w:tr>
      <w:tr w:rsidR="00EA2CA7" w:rsidRPr="001D2ADB" w14:paraId="7920A8D1" w14:textId="77777777" w:rsidTr="000D2D5E">
        <w:trPr>
          <w:trHeight w:val="525"/>
        </w:trPr>
        <w:tc>
          <w:tcPr>
            <w:tcW w:w="2098" w:type="dxa"/>
            <w:vMerge/>
            <w:tcBorders>
              <w:top w:val="nil"/>
              <w:left w:val="single" w:sz="8" w:space="0" w:color="auto"/>
              <w:bottom w:val="single" w:sz="8" w:space="0" w:color="000000"/>
              <w:right w:val="nil"/>
            </w:tcBorders>
            <w:vAlign w:val="center"/>
            <w:hideMark/>
          </w:tcPr>
          <w:p w14:paraId="01F8121A" w14:textId="77777777" w:rsidR="00EA2CA7" w:rsidRPr="001D2ADB" w:rsidRDefault="00EA2CA7" w:rsidP="001D2ADB">
            <w:pPr>
              <w:spacing w:after="0"/>
              <w:rPr>
                <w:rFonts w:ascii="Arial" w:eastAsia="Times New Roman" w:hAnsi="Arial" w:cs="Arial"/>
                <w:color w:val="000000"/>
              </w:rPr>
            </w:pPr>
          </w:p>
        </w:tc>
        <w:tc>
          <w:tcPr>
            <w:tcW w:w="238" w:type="dxa"/>
            <w:tcBorders>
              <w:top w:val="nil"/>
              <w:left w:val="single" w:sz="8" w:space="0" w:color="auto"/>
              <w:bottom w:val="nil"/>
              <w:right w:val="nil"/>
            </w:tcBorders>
            <w:shd w:val="clear" w:color="auto" w:fill="auto"/>
            <w:noWrap/>
            <w:vAlign w:val="bottom"/>
            <w:hideMark/>
          </w:tcPr>
          <w:p w14:paraId="24DB1D87"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050892B9" w14:textId="77777777" w:rsidR="00EA2CA7" w:rsidRPr="001D2ADB" w:rsidRDefault="00EA2CA7" w:rsidP="001D2ADB">
            <w:pPr>
              <w:spacing w:after="0"/>
              <w:rPr>
                <w:rFonts w:ascii="Arial" w:eastAsia="Times New Roman" w:hAnsi="Arial" w:cs="Arial"/>
                <w:color w:val="000000"/>
              </w:rPr>
            </w:pPr>
          </w:p>
        </w:tc>
        <w:tc>
          <w:tcPr>
            <w:tcW w:w="2124" w:type="dxa"/>
            <w:tcBorders>
              <w:top w:val="nil"/>
              <w:left w:val="nil"/>
              <w:bottom w:val="nil"/>
              <w:right w:val="nil"/>
            </w:tcBorders>
            <w:shd w:val="clear" w:color="auto" w:fill="auto"/>
            <w:noWrap/>
            <w:vAlign w:val="bottom"/>
            <w:hideMark/>
          </w:tcPr>
          <w:p w14:paraId="34F1830C" w14:textId="77777777" w:rsidR="00EA2CA7" w:rsidRPr="001D2ADB" w:rsidRDefault="00EA2CA7" w:rsidP="001D2ADB">
            <w:pPr>
              <w:spacing w:after="0"/>
              <w:rPr>
                <w:rFonts w:ascii="Arial" w:eastAsia="Times New Roman" w:hAnsi="Arial" w:cs="Arial"/>
              </w:rPr>
            </w:pPr>
          </w:p>
        </w:tc>
        <w:tc>
          <w:tcPr>
            <w:tcW w:w="305" w:type="dxa"/>
            <w:tcBorders>
              <w:top w:val="nil"/>
              <w:left w:val="single" w:sz="8" w:space="0" w:color="auto"/>
              <w:bottom w:val="nil"/>
              <w:right w:val="nil"/>
            </w:tcBorders>
            <w:shd w:val="clear" w:color="auto" w:fill="auto"/>
            <w:hideMark/>
          </w:tcPr>
          <w:p w14:paraId="303D33E9"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w:t>
            </w:r>
          </w:p>
        </w:tc>
        <w:tc>
          <w:tcPr>
            <w:tcW w:w="2185" w:type="dxa"/>
            <w:gridSpan w:val="2"/>
            <w:tcBorders>
              <w:top w:val="nil"/>
              <w:left w:val="nil"/>
              <w:bottom w:val="nil"/>
              <w:right w:val="nil"/>
            </w:tcBorders>
            <w:shd w:val="clear" w:color="auto" w:fill="auto"/>
            <w:hideMark/>
          </w:tcPr>
          <w:p w14:paraId="36FD2F3D"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Cholesterol absorption inhibitors</w:t>
            </w:r>
          </w:p>
        </w:tc>
        <w:tc>
          <w:tcPr>
            <w:tcW w:w="305" w:type="dxa"/>
            <w:tcBorders>
              <w:top w:val="nil"/>
              <w:left w:val="single" w:sz="8" w:space="0" w:color="auto"/>
              <w:bottom w:val="nil"/>
              <w:right w:val="nil"/>
            </w:tcBorders>
            <w:shd w:val="clear" w:color="auto" w:fill="auto"/>
            <w:noWrap/>
            <w:vAlign w:val="bottom"/>
            <w:hideMark/>
          </w:tcPr>
          <w:p w14:paraId="2A09F67A"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nil"/>
              <w:right w:val="nil"/>
            </w:tcBorders>
            <w:shd w:val="clear" w:color="auto" w:fill="auto"/>
            <w:noWrap/>
            <w:vAlign w:val="bottom"/>
            <w:hideMark/>
          </w:tcPr>
          <w:p w14:paraId="5B416C74" w14:textId="77777777" w:rsidR="00EA2CA7" w:rsidRPr="001D2ADB" w:rsidRDefault="00EA2CA7" w:rsidP="001D2ADB">
            <w:pPr>
              <w:spacing w:after="0"/>
              <w:rPr>
                <w:rFonts w:ascii="Arial" w:eastAsia="Times New Roman" w:hAnsi="Arial" w:cs="Arial"/>
                <w:color w:val="000000"/>
              </w:rPr>
            </w:pPr>
          </w:p>
        </w:tc>
        <w:tc>
          <w:tcPr>
            <w:tcW w:w="2161" w:type="dxa"/>
            <w:tcBorders>
              <w:top w:val="nil"/>
              <w:left w:val="nil"/>
              <w:bottom w:val="nil"/>
              <w:right w:val="single" w:sz="8" w:space="0" w:color="auto"/>
            </w:tcBorders>
            <w:shd w:val="clear" w:color="auto" w:fill="auto"/>
            <w:noWrap/>
            <w:vAlign w:val="bottom"/>
            <w:hideMark/>
          </w:tcPr>
          <w:p w14:paraId="77EA7893"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r>
      <w:tr w:rsidR="00EA2CA7" w:rsidRPr="001D2ADB" w14:paraId="252957BA" w14:textId="77777777" w:rsidTr="000D2D5E">
        <w:trPr>
          <w:trHeight w:val="315"/>
        </w:trPr>
        <w:tc>
          <w:tcPr>
            <w:tcW w:w="2098" w:type="dxa"/>
            <w:vMerge/>
            <w:tcBorders>
              <w:top w:val="nil"/>
              <w:left w:val="single" w:sz="8" w:space="0" w:color="auto"/>
              <w:bottom w:val="single" w:sz="8" w:space="0" w:color="000000"/>
              <w:right w:val="nil"/>
            </w:tcBorders>
            <w:vAlign w:val="center"/>
            <w:hideMark/>
          </w:tcPr>
          <w:p w14:paraId="74F95F38" w14:textId="77777777" w:rsidR="00EA2CA7" w:rsidRPr="001D2ADB" w:rsidRDefault="00EA2CA7" w:rsidP="001D2ADB">
            <w:pPr>
              <w:spacing w:after="0"/>
              <w:rPr>
                <w:rFonts w:ascii="Arial" w:eastAsia="Times New Roman" w:hAnsi="Arial" w:cs="Arial"/>
                <w:color w:val="000000"/>
              </w:rPr>
            </w:pPr>
          </w:p>
        </w:tc>
        <w:tc>
          <w:tcPr>
            <w:tcW w:w="238" w:type="dxa"/>
            <w:tcBorders>
              <w:top w:val="nil"/>
              <w:left w:val="single" w:sz="8" w:space="0" w:color="auto"/>
              <w:bottom w:val="single" w:sz="8" w:space="0" w:color="auto"/>
              <w:right w:val="nil"/>
            </w:tcBorders>
            <w:shd w:val="clear" w:color="auto" w:fill="auto"/>
            <w:noWrap/>
            <w:vAlign w:val="bottom"/>
            <w:hideMark/>
          </w:tcPr>
          <w:p w14:paraId="1DC6ECF1"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single" w:sz="8" w:space="0" w:color="auto"/>
              <w:right w:val="nil"/>
            </w:tcBorders>
            <w:shd w:val="clear" w:color="auto" w:fill="auto"/>
            <w:noWrap/>
            <w:vAlign w:val="bottom"/>
            <w:hideMark/>
          </w:tcPr>
          <w:p w14:paraId="737CAE4B"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124" w:type="dxa"/>
            <w:tcBorders>
              <w:top w:val="nil"/>
              <w:left w:val="nil"/>
              <w:bottom w:val="single" w:sz="8" w:space="0" w:color="auto"/>
              <w:right w:val="nil"/>
            </w:tcBorders>
            <w:shd w:val="clear" w:color="auto" w:fill="auto"/>
            <w:noWrap/>
            <w:vAlign w:val="bottom"/>
            <w:hideMark/>
          </w:tcPr>
          <w:p w14:paraId="11375DCC"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05" w:type="dxa"/>
            <w:tcBorders>
              <w:top w:val="nil"/>
              <w:left w:val="single" w:sz="8" w:space="0" w:color="auto"/>
              <w:bottom w:val="single" w:sz="8" w:space="0" w:color="auto"/>
              <w:right w:val="nil"/>
            </w:tcBorders>
            <w:shd w:val="clear" w:color="auto" w:fill="auto"/>
            <w:hideMark/>
          </w:tcPr>
          <w:p w14:paraId="141619FA"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w:t>
            </w:r>
          </w:p>
        </w:tc>
        <w:tc>
          <w:tcPr>
            <w:tcW w:w="2185" w:type="dxa"/>
            <w:gridSpan w:val="2"/>
            <w:tcBorders>
              <w:top w:val="nil"/>
              <w:left w:val="nil"/>
              <w:bottom w:val="single" w:sz="8" w:space="0" w:color="auto"/>
              <w:right w:val="nil"/>
            </w:tcBorders>
            <w:shd w:val="clear" w:color="auto" w:fill="auto"/>
            <w:noWrap/>
            <w:hideMark/>
          </w:tcPr>
          <w:p w14:paraId="2EEF4E82"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Statins</w:t>
            </w:r>
          </w:p>
        </w:tc>
        <w:tc>
          <w:tcPr>
            <w:tcW w:w="305" w:type="dxa"/>
            <w:tcBorders>
              <w:top w:val="nil"/>
              <w:left w:val="single" w:sz="8" w:space="0" w:color="auto"/>
              <w:bottom w:val="single" w:sz="8" w:space="0" w:color="auto"/>
              <w:right w:val="nil"/>
            </w:tcBorders>
            <w:shd w:val="clear" w:color="auto" w:fill="auto"/>
            <w:noWrap/>
            <w:vAlign w:val="bottom"/>
            <w:hideMark/>
          </w:tcPr>
          <w:p w14:paraId="2DA39E08"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310" w:type="dxa"/>
            <w:tcBorders>
              <w:top w:val="nil"/>
              <w:left w:val="nil"/>
              <w:bottom w:val="single" w:sz="8" w:space="0" w:color="auto"/>
              <w:right w:val="nil"/>
            </w:tcBorders>
            <w:shd w:val="clear" w:color="auto" w:fill="auto"/>
            <w:noWrap/>
            <w:vAlign w:val="bottom"/>
            <w:hideMark/>
          </w:tcPr>
          <w:p w14:paraId="78F25359"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c>
          <w:tcPr>
            <w:tcW w:w="2161" w:type="dxa"/>
            <w:tcBorders>
              <w:top w:val="nil"/>
              <w:left w:val="nil"/>
              <w:bottom w:val="single" w:sz="8" w:space="0" w:color="auto"/>
              <w:right w:val="single" w:sz="8" w:space="0" w:color="auto"/>
            </w:tcBorders>
            <w:shd w:val="clear" w:color="auto" w:fill="auto"/>
            <w:noWrap/>
            <w:vAlign w:val="bottom"/>
            <w:hideMark/>
          </w:tcPr>
          <w:p w14:paraId="03747140" w14:textId="77777777" w:rsidR="00EA2CA7" w:rsidRPr="001D2ADB" w:rsidRDefault="00EA2CA7" w:rsidP="001D2ADB">
            <w:pPr>
              <w:spacing w:after="0"/>
              <w:rPr>
                <w:rFonts w:ascii="Arial" w:eastAsia="Times New Roman" w:hAnsi="Arial" w:cs="Arial"/>
                <w:color w:val="000000"/>
              </w:rPr>
            </w:pPr>
            <w:r w:rsidRPr="001D2ADB">
              <w:rPr>
                <w:rFonts w:ascii="Arial" w:eastAsia="Times New Roman" w:hAnsi="Arial" w:cs="Arial"/>
                <w:color w:val="000000"/>
              </w:rPr>
              <w:t> </w:t>
            </w:r>
          </w:p>
        </w:tc>
      </w:tr>
      <w:bookmarkEnd w:id="3"/>
    </w:tbl>
    <w:p w14:paraId="57B7DF57" w14:textId="109CFBE4" w:rsidR="00EA2CA7" w:rsidRPr="001D2ADB" w:rsidRDefault="00EA2CA7" w:rsidP="001D2ADB">
      <w:pPr>
        <w:spacing w:after="0"/>
        <w:rPr>
          <w:rFonts w:ascii="Arial" w:hAnsi="Arial" w:cs="Arial"/>
          <w:vertAlign w:val="superscript"/>
        </w:rPr>
      </w:pPr>
    </w:p>
    <w:p w14:paraId="7178018A" w14:textId="77777777" w:rsidR="00282913" w:rsidRPr="001D2ADB" w:rsidRDefault="00282913" w:rsidP="001D2ADB">
      <w:pPr>
        <w:spacing w:after="0"/>
        <w:rPr>
          <w:rFonts w:ascii="Arial" w:hAnsi="Arial" w:cs="Arial"/>
          <w:vertAlign w:val="superscript"/>
        </w:rPr>
      </w:pPr>
    </w:p>
    <w:tbl>
      <w:tblPr>
        <w:tblStyle w:val="TableGrid"/>
        <w:tblW w:w="0" w:type="auto"/>
        <w:tblLook w:val="04A0" w:firstRow="1" w:lastRow="0" w:firstColumn="1" w:lastColumn="0" w:noHBand="0" w:noVBand="1"/>
      </w:tblPr>
      <w:tblGrid>
        <w:gridCol w:w="3145"/>
        <w:gridCol w:w="4770"/>
      </w:tblGrid>
      <w:tr w:rsidR="000D2D5E" w:rsidRPr="001D2ADB" w14:paraId="7B4A9CBE" w14:textId="77777777" w:rsidTr="005F69B3">
        <w:trPr>
          <w:trHeight w:val="368"/>
        </w:trPr>
        <w:tc>
          <w:tcPr>
            <w:tcW w:w="7915" w:type="dxa"/>
            <w:gridSpan w:val="2"/>
            <w:shd w:val="clear" w:color="auto" w:fill="FFFF00"/>
          </w:tcPr>
          <w:p w14:paraId="13FA1028" w14:textId="39675479" w:rsidR="000D2D5E" w:rsidRPr="001D2ADB" w:rsidRDefault="000D2D5E" w:rsidP="001D2ADB">
            <w:pPr>
              <w:spacing w:after="0"/>
              <w:rPr>
                <w:rFonts w:ascii="Arial" w:hAnsi="Arial" w:cs="Arial"/>
                <w:b/>
                <w:bCs/>
              </w:rPr>
            </w:pPr>
            <w:r w:rsidRPr="001D2ADB">
              <w:rPr>
                <w:rFonts w:ascii="Arial" w:hAnsi="Arial" w:cs="Arial"/>
                <w:b/>
                <w:bCs/>
              </w:rPr>
              <w:t>Table 2. NHLBI Risk Factors and Risk Conditions</w:t>
            </w:r>
            <w:r w:rsidR="00E441DA" w:rsidRPr="001D2ADB">
              <w:rPr>
                <w:rFonts w:ascii="Arial" w:hAnsi="Arial" w:cs="Arial"/>
                <w:b/>
                <w:bCs/>
              </w:rPr>
              <w:t xml:space="preserve"> (9)</w:t>
            </w:r>
          </w:p>
        </w:tc>
      </w:tr>
      <w:tr w:rsidR="000D2D5E" w:rsidRPr="001D2ADB" w14:paraId="69375432" w14:textId="77777777" w:rsidTr="005F69B3">
        <w:trPr>
          <w:trHeight w:val="350"/>
        </w:trPr>
        <w:tc>
          <w:tcPr>
            <w:tcW w:w="7915" w:type="dxa"/>
            <w:gridSpan w:val="2"/>
          </w:tcPr>
          <w:p w14:paraId="786C2E40" w14:textId="5FE35B63" w:rsidR="000D2D5E" w:rsidRPr="001D2ADB" w:rsidRDefault="008E72EE" w:rsidP="001D2ADB">
            <w:pPr>
              <w:spacing w:after="0"/>
              <w:rPr>
                <w:rFonts w:ascii="Arial" w:hAnsi="Arial" w:cs="Arial"/>
                <w:b/>
                <w:bCs/>
              </w:rPr>
            </w:pPr>
            <w:r w:rsidRPr="001D2ADB">
              <w:rPr>
                <w:rFonts w:ascii="Arial" w:hAnsi="Arial" w:cs="Arial"/>
                <w:b/>
                <w:bCs/>
              </w:rPr>
              <w:t>NHLBI, AAP</w:t>
            </w:r>
            <w:r w:rsidR="000D2D5E" w:rsidRPr="001D2ADB">
              <w:rPr>
                <w:rFonts w:ascii="Arial" w:hAnsi="Arial" w:cs="Arial"/>
                <w:b/>
                <w:bCs/>
              </w:rPr>
              <w:t xml:space="preserve"> 2011 Guidelines: Risk Factors and Risk Conditions</w:t>
            </w:r>
          </w:p>
        </w:tc>
      </w:tr>
      <w:tr w:rsidR="000D2D5E" w:rsidRPr="001D2ADB" w14:paraId="1C236920" w14:textId="77777777" w:rsidTr="005F69B3">
        <w:trPr>
          <w:trHeight w:val="528"/>
        </w:trPr>
        <w:tc>
          <w:tcPr>
            <w:tcW w:w="3145" w:type="dxa"/>
          </w:tcPr>
          <w:p w14:paraId="0AA5E140" w14:textId="77777777" w:rsidR="000D2D5E" w:rsidRPr="001D2ADB" w:rsidRDefault="000D2D5E" w:rsidP="001D2ADB">
            <w:pPr>
              <w:spacing w:after="0"/>
              <w:rPr>
                <w:rFonts w:ascii="Arial" w:hAnsi="Arial" w:cs="Arial"/>
              </w:rPr>
            </w:pPr>
            <w:r w:rsidRPr="001D2ADB">
              <w:rPr>
                <w:rFonts w:ascii="Arial" w:hAnsi="Arial" w:cs="Arial"/>
              </w:rPr>
              <w:t>High Level Risk Factors</w:t>
            </w:r>
          </w:p>
        </w:tc>
        <w:tc>
          <w:tcPr>
            <w:tcW w:w="4770" w:type="dxa"/>
          </w:tcPr>
          <w:p w14:paraId="18BF1AFC" w14:textId="77777777" w:rsidR="000D2D5E" w:rsidRPr="001D2ADB" w:rsidRDefault="000D2D5E" w:rsidP="001D2ADB">
            <w:pPr>
              <w:numPr>
                <w:ilvl w:val="0"/>
                <w:numId w:val="2"/>
              </w:numPr>
              <w:tabs>
                <w:tab w:val="num" w:pos="720"/>
              </w:tabs>
              <w:spacing w:after="0"/>
              <w:ind w:left="0"/>
              <w:rPr>
                <w:rFonts w:ascii="Arial" w:hAnsi="Arial" w:cs="Arial"/>
              </w:rPr>
            </w:pPr>
            <w:r w:rsidRPr="001D2ADB">
              <w:rPr>
                <w:rFonts w:ascii="Arial" w:hAnsi="Arial" w:cs="Arial"/>
              </w:rPr>
              <w:t>Hypertension requiring drug therapy</w:t>
            </w:r>
          </w:p>
          <w:p w14:paraId="767AFB01" w14:textId="77777777" w:rsidR="000D2D5E" w:rsidRPr="001D2ADB" w:rsidRDefault="000D2D5E" w:rsidP="001D2ADB">
            <w:pPr>
              <w:numPr>
                <w:ilvl w:val="0"/>
                <w:numId w:val="2"/>
              </w:numPr>
              <w:tabs>
                <w:tab w:val="num" w:pos="720"/>
              </w:tabs>
              <w:spacing w:after="0"/>
              <w:ind w:left="0"/>
              <w:rPr>
                <w:rFonts w:ascii="Arial" w:hAnsi="Arial" w:cs="Arial"/>
              </w:rPr>
            </w:pPr>
            <w:r w:rsidRPr="001D2ADB">
              <w:rPr>
                <w:rFonts w:ascii="Arial" w:hAnsi="Arial" w:cs="Arial"/>
              </w:rPr>
              <w:t>Tobacco use</w:t>
            </w:r>
          </w:p>
          <w:p w14:paraId="66FC3DD0" w14:textId="77777777" w:rsidR="000D2D5E" w:rsidRPr="001D2ADB" w:rsidRDefault="000D2D5E" w:rsidP="001D2ADB">
            <w:pPr>
              <w:numPr>
                <w:ilvl w:val="0"/>
                <w:numId w:val="2"/>
              </w:numPr>
              <w:tabs>
                <w:tab w:val="num" w:pos="720"/>
              </w:tabs>
              <w:spacing w:after="0"/>
              <w:ind w:left="0"/>
              <w:rPr>
                <w:rFonts w:ascii="Arial" w:hAnsi="Arial" w:cs="Arial"/>
              </w:rPr>
            </w:pPr>
            <w:r w:rsidRPr="001D2ADB">
              <w:rPr>
                <w:rFonts w:ascii="Arial" w:hAnsi="Arial" w:cs="Arial"/>
              </w:rPr>
              <w:t>BMI ≥ 97</w:t>
            </w:r>
            <w:r w:rsidRPr="001D2ADB">
              <w:rPr>
                <w:rFonts w:ascii="Arial" w:hAnsi="Arial" w:cs="Arial"/>
                <w:vertAlign w:val="superscript"/>
              </w:rPr>
              <w:t>th</w:t>
            </w:r>
            <w:r w:rsidRPr="001D2ADB">
              <w:rPr>
                <w:rFonts w:ascii="Arial" w:hAnsi="Arial" w:cs="Arial"/>
              </w:rPr>
              <w:t xml:space="preserve"> percentile</w:t>
            </w:r>
          </w:p>
          <w:p w14:paraId="75DC367E" w14:textId="77777777" w:rsidR="000D2D5E" w:rsidRPr="001D2ADB" w:rsidRDefault="000D2D5E" w:rsidP="001D2ADB">
            <w:pPr>
              <w:numPr>
                <w:ilvl w:val="0"/>
                <w:numId w:val="2"/>
              </w:numPr>
              <w:spacing w:after="0"/>
              <w:ind w:left="0"/>
              <w:rPr>
                <w:rFonts w:ascii="Arial" w:hAnsi="Arial" w:cs="Arial"/>
              </w:rPr>
            </w:pPr>
            <w:r w:rsidRPr="001D2ADB">
              <w:rPr>
                <w:rFonts w:ascii="Arial" w:hAnsi="Arial" w:cs="Arial"/>
              </w:rPr>
              <w:t>High risk conditions</w:t>
            </w:r>
          </w:p>
        </w:tc>
      </w:tr>
      <w:tr w:rsidR="000D2D5E" w:rsidRPr="001D2ADB" w14:paraId="653B3E70" w14:textId="77777777" w:rsidTr="005F69B3">
        <w:trPr>
          <w:trHeight w:val="528"/>
        </w:trPr>
        <w:tc>
          <w:tcPr>
            <w:tcW w:w="3145" w:type="dxa"/>
          </w:tcPr>
          <w:p w14:paraId="1584B317" w14:textId="77777777" w:rsidR="000D2D5E" w:rsidRPr="001D2ADB" w:rsidRDefault="000D2D5E" w:rsidP="001D2ADB">
            <w:pPr>
              <w:spacing w:after="0"/>
              <w:rPr>
                <w:rFonts w:ascii="Arial" w:hAnsi="Arial" w:cs="Arial"/>
              </w:rPr>
            </w:pPr>
            <w:r w:rsidRPr="001D2ADB">
              <w:rPr>
                <w:rFonts w:ascii="Arial" w:hAnsi="Arial" w:cs="Arial"/>
              </w:rPr>
              <w:t>Moderate Level Risk Factors</w:t>
            </w:r>
          </w:p>
        </w:tc>
        <w:tc>
          <w:tcPr>
            <w:tcW w:w="4770" w:type="dxa"/>
          </w:tcPr>
          <w:p w14:paraId="1ED73141" w14:textId="77777777" w:rsidR="000D2D5E" w:rsidRPr="001D2ADB" w:rsidRDefault="000D2D5E" w:rsidP="001D2ADB">
            <w:pPr>
              <w:numPr>
                <w:ilvl w:val="0"/>
                <w:numId w:val="3"/>
              </w:numPr>
              <w:tabs>
                <w:tab w:val="num" w:pos="720"/>
              </w:tabs>
              <w:spacing w:after="0"/>
              <w:ind w:left="0"/>
              <w:rPr>
                <w:rFonts w:ascii="Arial" w:hAnsi="Arial" w:cs="Arial"/>
              </w:rPr>
            </w:pPr>
            <w:r w:rsidRPr="001D2ADB">
              <w:rPr>
                <w:rFonts w:ascii="Arial" w:hAnsi="Arial" w:cs="Arial"/>
              </w:rPr>
              <w:t>Hypertension not requiring drug therapy</w:t>
            </w:r>
          </w:p>
          <w:p w14:paraId="4089516C" w14:textId="77777777" w:rsidR="000D2D5E" w:rsidRPr="001D2ADB" w:rsidRDefault="000D2D5E" w:rsidP="001D2ADB">
            <w:pPr>
              <w:numPr>
                <w:ilvl w:val="0"/>
                <w:numId w:val="3"/>
              </w:numPr>
              <w:tabs>
                <w:tab w:val="num" w:pos="720"/>
              </w:tabs>
              <w:spacing w:after="0"/>
              <w:ind w:left="0"/>
              <w:rPr>
                <w:rFonts w:ascii="Arial" w:hAnsi="Arial" w:cs="Arial"/>
              </w:rPr>
            </w:pPr>
            <w:r w:rsidRPr="001D2ADB">
              <w:rPr>
                <w:rFonts w:ascii="Arial" w:hAnsi="Arial" w:cs="Arial"/>
              </w:rPr>
              <w:t>BMI ≥ 95</w:t>
            </w:r>
            <w:r w:rsidRPr="001D2ADB">
              <w:rPr>
                <w:rFonts w:ascii="Arial" w:hAnsi="Arial" w:cs="Arial"/>
                <w:vertAlign w:val="superscript"/>
              </w:rPr>
              <w:t>th</w:t>
            </w:r>
            <w:r w:rsidRPr="001D2ADB">
              <w:rPr>
                <w:rFonts w:ascii="Arial" w:hAnsi="Arial" w:cs="Arial"/>
              </w:rPr>
              <w:t xml:space="preserve"> percentile, &lt; 97</w:t>
            </w:r>
            <w:r w:rsidRPr="001D2ADB">
              <w:rPr>
                <w:rFonts w:ascii="Arial" w:hAnsi="Arial" w:cs="Arial"/>
                <w:vertAlign w:val="superscript"/>
              </w:rPr>
              <w:t>th</w:t>
            </w:r>
            <w:r w:rsidRPr="001D2ADB">
              <w:rPr>
                <w:rFonts w:ascii="Arial" w:hAnsi="Arial" w:cs="Arial"/>
              </w:rPr>
              <w:t xml:space="preserve"> percentile</w:t>
            </w:r>
          </w:p>
          <w:p w14:paraId="6F0568A9" w14:textId="77777777" w:rsidR="000D2D5E" w:rsidRPr="001D2ADB" w:rsidRDefault="000D2D5E" w:rsidP="001D2ADB">
            <w:pPr>
              <w:numPr>
                <w:ilvl w:val="0"/>
                <w:numId w:val="3"/>
              </w:numPr>
              <w:tabs>
                <w:tab w:val="num" w:pos="720"/>
              </w:tabs>
              <w:spacing w:after="0"/>
              <w:ind w:left="0"/>
              <w:rPr>
                <w:rFonts w:ascii="Arial" w:hAnsi="Arial" w:cs="Arial"/>
              </w:rPr>
            </w:pPr>
            <w:r w:rsidRPr="001D2ADB">
              <w:rPr>
                <w:rFonts w:ascii="Arial" w:hAnsi="Arial" w:cs="Arial"/>
              </w:rPr>
              <w:t>HDL &lt; 40 mg/dL</w:t>
            </w:r>
          </w:p>
          <w:p w14:paraId="3D8CFFB9" w14:textId="77777777" w:rsidR="000D2D5E" w:rsidRPr="001D2ADB" w:rsidRDefault="000D2D5E" w:rsidP="001D2ADB">
            <w:pPr>
              <w:numPr>
                <w:ilvl w:val="0"/>
                <w:numId w:val="3"/>
              </w:numPr>
              <w:spacing w:after="0"/>
              <w:ind w:left="0"/>
              <w:rPr>
                <w:rFonts w:ascii="Arial" w:hAnsi="Arial" w:cs="Arial"/>
              </w:rPr>
            </w:pPr>
            <w:r w:rsidRPr="001D2ADB">
              <w:rPr>
                <w:rFonts w:ascii="Arial" w:hAnsi="Arial" w:cs="Arial"/>
              </w:rPr>
              <w:t>Moderate risk conditions</w:t>
            </w:r>
          </w:p>
        </w:tc>
      </w:tr>
      <w:tr w:rsidR="000D2D5E" w:rsidRPr="001D2ADB" w14:paraId="27D520B8" w14:textId="77777777" w:rsidTr="005F69B3">
        <w:trPr>
          <w:trHeight w:val="528"/>
        </w:trPr>
        <w:tc>
          <w:tcPr>
            <w:tcW w:w="3145" w:type="dxa"/>
          </w:tcPr>
          <w:p w14:paraId="2CD72D8C" w14:textId="77777777" w:rsidR="000D2D5E" w:rsidRPr="001D2ADB" w:rsidRDefault="000D2D5E" w:rsidP="001D2ADB">
            <w:pPr>
              <w:spacing w:after="0"/>
              <w:rPr>
                <w:rFonts w:ascii="Arial" w:hAnsi="Arial" w:cs="Arial"/>
              </w:rPr>
            </w:pPr>
            <w:r w:rsidRPr="001D2ADB">
              <w:rPr>
                <w:rFonts w:ascii="Arial" w:hAnsi="Arial" w:cs="Arial"/>
              </w:rPr>
              <w:t>High Risk Conditions</w:t>
            </w:r>
          </w:p>
        </w:tc>
        <w:tc>
          <w:tcPr>
            <w:tcW w:w="4770" w:type="dxa"/>
          </w:tcPr>
          <w:p w14:paraId="55FB2C0D" w14:textId="77777777" w:rsidR="000D2D5E" w:rsidRPr="001D2ADB" w:rsidRDefault="000D2D5E" w:rsidP="001D2ADB">
            <w:pPr>
              <w:numPr>
                <w:ilvl w:val="0"/>
                <w:numId w:val="4"/>
              </w:numPr>
              <w:tabs>
                <w:tab w:val="num" w:pos="720"/>
              </w:tabs>
              <w:spacing w:after="0"/>
              <w:ind w:left="0"/>
              <w:rPr>
                <w:rFonts w:ascii="Arial" w:hAnsi="Arial" w:cs="Arial"/>
              </w:rPr>
            </w:pPr>
            <w:r w:rsidRPr="001D2ADB">
              <w:rPr>
                <w:rFonts w:ascii="Arial" w:hAnsi="Arial" w:cs="Arial"/>
              </w:rPr>
              <w:t>T1DM and T2DM</w:t>
            </w:r>
          </w:p>
          <w:p w14:paraId="1FD5C08C" w14:textId="77777777" w:rsidR="000D2D5E" w:rsidRPr="001D2ADB" w:rsidRDefault="000D2D5E" w:rsidP="001D2ADB">
            <w:pPr>
              <w:numPr>
                <w:ilvl w:val="0"/>
                <w:numId w:val="4"/>
              </w:numPr>
              <w:tabs>
                <w:tab w:val="num" w:pos="720"/>
              </w:tabs>
              <w:spacing w:after="0"/>
              <w:ind w:left="0"/>
              <w:rPr>
                <w:rFonts w:ascii="Arial" w:hAnsi="Arial" w:cs="Arial"/>
              </w:rPr>
            </w:pPr>
            <w:r w:rsidRPr="001D2ADB">
              <w:rPr>
                <w:rFonts w:ascii="Arial" w:hAnsi="Arial" w:cs="Arial"/>
              </w:rPr>
              <w:t>CKD, ESRD, post-renal transplant</w:t>
            </w:r>
          </w:p>
          <w:p w14:paraId="66487BD2" w14:textId="77777777" w:rsidR="000D2D5E" w:rsidRPr="001D2ADB" w:rsidRDefault="000D2D5E" w:rsidP="001D2ADB">
            <w:pPr>
              <w:numPr>
                <w:ilvl w:val="0"/>
                <w:numId w:val="4"/>
              </w:numPr>
              <w:tabs>
                <w:tab w:val="num" w:pos="720"/>
              </w:tabs>
              <w:spacing w:after="0"/>
              <w:ind w:left="0"/>
              <w:rPr>
                <w:rFonts w:ascii="Arial" w:hAnsi="Arial" w:cs="Arial"/>
              </w:rPr>
            </w:pPr>
            <w:r w:rsidRPr="001D2ADB">
              <w:rPr>
                <w:rFonts w:ascii="Arial" w:hAnsi="Arial" w:cs="Arial"/>
              </w:rPr>
              <w:t>Post-orthotopic heart transplant</w:t>
            </w:r>
          </w:p>
          <w:p w14:paraId="05C313A4" w14:textId="77777777" w:rsidR="000D2D5E" w:rsidRPr="001D2ADB" w:rsidRDefault="000D2D5E" w:rsidP="001D2ADB">
            <w:pPr>
              <w:numPr>
                <w:ilvl w:val="0"/>
                <w:numId w:val="4"/>
              </w:numPr>
              <w:spacing w:after="0"/>
              <w:ind w:left="0"/>
              <w:rPr>
                <w:rFonts w:ascii="Arial" w:hAnsi="Arial" w:cs="Arial"/>
              </w:rPr>
            </w:pPr>
            <w:r w:rsidRPr="001D2ADB">
              <w:rPr>
                <w:rFonts w:ascii="Arial" w:hAnsi="Arial" w:cs="Arial"/>
              </w:rPr>
              <w:t>Kawasaki disease with current aneurysms</w:t>
            </w:r>
          </w:p>
        </w:tc>
      </w:tr>
      <w:tr w:rsidR="000D2D5E" w:rsidRPr="001D2ADB" w14:paraId="2277FFC6" w14:textId="77777777" w:rsidTr="005F69B3">
        <w:trPr>
          <w:trHeight w:val="528"/>
        </w:trPr>
        <w:tc>
          <w:tcPr>
            <w:tcW w:w="3145" w:type="dxa"/>
          </w:tcPr>
          <w:p w14:paraId="3654F7C7" w14:textId="77777777" w:rsidR="000D2D5E" w:rsidRPr="001D2ADB" w:rsidRDefault="000D2D5E" w:rsidP="001D2ADB">
            <w:pPr>
              <w:spacing w:after="0"/>
              <w:rPr>
                <w:rFonts w:ascii="Arial" w:hAnsi="Arial" w:cs="Arial"/>
              </w:rPr>
            </w:pPr>
            <w:r w:rsidRPr="001D2ADB">
              <w:rPr>
                <w:rFonts w:ascii="Arial" w:hAnsi="Arial" w:cs="Arial"/>
              </w:rPr>
              <w:t>Moderate Risk Conditions</w:t>
            </w:r>
          </w:p>
        </w:tc>
        <w:tc>
          <w:tcPr>
            <w:tcW w:w="4770" w:type="dxa"/>
          </w:tcPr>
          <w:p w14:paraId="74B26B53" w14:textId="77777777" w:rsidR="000D2D5E" w:rsidRPr="001D2ADB" w:rsidRDefault="000D2D5E" w:rsidP="001D2ADB">
            <w:pPr>
              <w:numPr>
                <w:ilvl w:val="0"/>
                <w:numId w:val="5"/>
              </w:numPr>
              <w:tabs>
                <w:tab w:val="clear" w:pos="360"/>
                <w:tab w:val="num" w:pos="720"/>
              </w:tabs>
              <w:spacing w:after="0"/>
              <w:ind w:left="0"/>
              <w:rPr>
                <w:rFonts w:ascii="Arial" w:hAnsi="Arial" w:cs="Arial"/>
              </w:rPr>
            </w:pPr>
            <w:r w:rsidRPr="001D2ADB">
              <w:rPr>
                <w:rFonts w:ascii="Arial" w:hAnsi="Arial" w:cs="Arial"/>
              </w:rPr>
              <w:t>Kawasaki disease with regressed aneurysms</w:t>
            </w:r>
          </w:p>
          <w:p w14:paraId="7BCC4DC7" w14:textId="77777777" w:rsidR="000D2D5E" w:rsidRPr="001D2ADB" w:rsidRDefault="000D2D5E" w:rsidP="001D2ADB">
            <w:pPr>
              <w:numPr>
                <w:ilvl w:val="0"/>
                <w:numId w:val="5"/>
              </w:numPr>
              <w:tabs>
                <w:tab w:val="clear" w:pos="360"/>
                <w:tab w:val="num" w:pos="720"/>
              </w:tabs>
              <w:spacing w:after="0"/>
              <w:ind w:left="0"/>
              <w:rPr>
                <w:rFonts w:ascii="Arial" w:hAnsi="Arial" w:cs="Arial"/>
              </w:rPr>
            </w:pPr>
            <w:r w:rsidRPr="001D2ADB">
              <w:rPr>
                <w:rFonts w:ascii="Arial" w:hAnsi="Arial" w:cs="Arial"/>
              </w:rPr>
              <w:t>Chronic inflammatory disease</w:t>
            </w:r>
          </w:p>
          <w:p w14:paraId="67D0CA98" w14:textId="77777777" w:rsidR="000D2D5E" w:rsidRPr="001D2ADB" w:rsidRDefault="000D2D5E" w:rsidP="001D2ADB">
            <w:pPr>
              <w:numPr>
                <w:ilvl w:val="0"/>
                <w:numId w:val="5"/>
              </w:numPr>
              <w:tabs>
                <w:tab w:val="clear" w:pos="360"/>
                <w:tab w:val="num" w:pos="720"/>
              </w:tabs>
              <w:spacing w:after="0"/>
              <w:ind w:left="0"/>
              <w:rPr>
                <w:rFonts w:ascii="Arial" w:hAnsi="Arial" w:cs="Arial"/>
              </w:rPr>
            </w:pPr>
            <w:r w:rsidRPr="001D2ADB">
              <w:rPr>
                <w:rFonts w:ascii="Arial" w:hAnsi="Arial" w:cs="Arial"/>
              </w:rPr>
              <w:t>HIV infection</w:t>
            </w:r>
          </w:p>
          <w:p w14:paraId="4FF91A6F" w14:textId="77777777" w:rsidR="000D2D5E" w:rsidRPr="001D2ADB" w:rsidRDefault="000D2D5E" w:rsidP="001D2ADB">
            <w:pPr>
              <w:numPr>
                <w:ilvl w:val="0"/>
                <w:numId w:val="5"/>
              </w:numPr>
              <w:spacing w:after="0"/>
              <w:ind w:left="0"/>
              <w:rPr>
                <w:rFonts w:ascii="Arial" w:hAnsi="Arial" w:cs="Arial"/>
              </w:rPr>
            </w:pPr>
            <w:r w:rsidRPr="001D2ADB">
              <w:rPr>
                <w:rFonts w:ascii="Arial" w:hAnsi="Arial" w:cs="Arial"/>
              </w:rPr>
              <w:t>Nephrotic syndrome</w:t>
            </w:r>
          </w:p>
        </w:tc>
      </w:tr>
    </w:tbl>
    <w:p w14:paraId="2F7C0852" w14:textId="77777777" w:rsidR="00EA2CA7" w:rsidRPr="001D2ADB" w:rsidRDefault="00EA2CA7" w:rsidP="001D2ADB">
      <w:pPr>
        <w:spacing w:after="0"/>
        <w:rPr>
          <w:rFonts w:ascii="Arial" w:hAnsi="Arial" w:cs="Arial"/>
          <w:vertAlign w:val="superscript"/>
        </w:rPr>
      </w:pPr>
    </w:p>
    <w:p w14:paraId="082DC2D4" w14:textId="113BE053" w:rsidR="00245556" w:rsidRPr="001D2ADB" w:rsidRDefault="003726B2" w:rsidP="001D2ADB">
      <w:pPr>
        <w:spacing w:after="0"/>
        <w:rPr>
          <w:rFonts w:ascii="Arial" w:hAnsi="Arial" w:cs="Arial"/>
          <w:b/>
          <w:bCs/>
          <w:color w:val="0070C0"/>
        </w:rPr>
      </w:pPr>
      <w:r w:rsidRPr="001D2ADB">
        <w:rPr>
          <w:rFonts w:ascii="Arial" w:hAnsi="Arial" w:cs="Arial"/>
          <w:b/>
          <w:bCs/>
          <w:color w:val="0070C0"/>
        </w:rPr>
        <w:t>PHARMA</w:t>
      </w:r>
      <w:r w:rsidR="00245556" w:rsidRPr="001D2ADB">
        <w:rPr>
          <w:rFonts w:ascii="Arial" w:hAnsi="Arial" w:cs="Arial"/>
          <w:b/>
          <w:bCs/>
          <w:color w:val="0070C0"/>
        </w:rPr>
        <w:t>COTHERAPEUTIC TREAT</w:t>
      </w:r>
      <w:r w:rsidR="00212FEE" w:rsidRPr="001D2ADB">
        <w:rPr>
          <w:rFonts w:ascii="Arial" w:hAnsi="Arial" w:cs="Arial"/>
          <w:b/>
          <w:bCs/>
          <w:color w:val="0070C0"/>
        </w:rPr>
        <w:t>ME</w:t>
      </w:r>
      <w:r w:rsidR="00245556" w:rsidRPr="001D2ADB">
        <w:rPr>
          <w:rFonts w:ascii="Arial" w:hAnsi="Arial" w:cs="Arial"/>
          <w:b/>
          <w:bCs/>
          <w:color w:val="0070C0"/>
        </w:rPr>
        <w:t xml:space="preserve">NT IN </w:t>
      </w:r>
      <w:r w:rsidRPr="001D2ADB">
        <w:rPr>
          <w:rFonts w:ascii="Arial" w:hAnsi="Arial" w:cs="Arial"/>
          <w:b/>
          <w:bCs/>
          <w:color w:val="0070C0"/>
        </w:rPr>
        <w:t>YOUTH</w:t>
      </w:r>
    </w:p>
    <w:p w14:paraId="710AFFAD" w14:textId="77777777" w:rsidR="00474DCD" w:rsidRPr="001D2ADB" w:rsidRDefault="00474DCD" w:rsidP="001D2ADB">
      <w:pPr>
        <w:spacing w:after="0"/>
        <w:rPr>
          <w:rFonts w:ascii="Arial" w:hAnsi="Arial" w:cs="Arial"/>
        </w:rPr>
      </w:pPr>
    </w:p>
    <w:p w14:paraId="5E97F842" w14:textId="2DEE8920" w:rsidR="003726B2" w:rsidRPr="001D2ADB" w:rsidRDefault="003726B2" w:rsidP="001D2ADB">
      <w:pPr>
        <w:spacing w:after="0"/>
        <w:rPr>
          <w:rFonts w:ascii="Arial" w:hAnsi="Arial" w:cs="Arial"/>
        </w:rPr>
      </w:pPr>
      <w:r w:rsidRPr="001D2ADB">
        <w:rPr>
          <w:rFonts w:ascii="Arial" w:hAnsi="Arial" w:cs="Arial"/>
        </w:rPr>
        <w:t xml:space="preserve">The treatment of youth with lipid lowering medications presents some unique challenges and consideration due to their developmental stage, the possibility of extended durations of treatment, and the potential use of concurrent medications that may be counter-productive by increasing </w:t>
      </w:r>
      <w:r w:rsidR="007F182A" w:rsidRPr="001D2ADB">
        <w:rPr>
          <w:rFonts w:ascii="Arial" w:hAnsi="Arial" w:cs="Arial"/>
        </w:rPr>
        <w:t>lipid levels. As patients progress into adolescence it is particularly important for the patient to understand not only the need for their lipid lowering therapies, but also the consequences of non-compliance.</w:t>
      </w:r>
      <w:r w:rsidR="001226B9" w:rsidRPr="001D2ADB">
        <w:rPr>
          <w:rFonts w:ascii="Arial" w:hAnsi="Arial" w:cs="Arial"/>
        </w:rPr>
        <w:t xml:space="preserve"> Counseling regarding pharmacotherapy should begin at an early age with developmentally appropriate explanations and expand as patients mature. During adolescence when patients are developing their independence counseling that addresses how to integrate their therapy into their own social norms is important for achieving compliance to both pharmacotherapy as well as lifestyle modifications. Additionally, the cost of therapy significantly impacts compliance and should be factored into therapy decisions especially as youth transition into adulthood and may be faced with changes in insurance coverage. It is also critical to continually readdress the correct use of medications as patients are likely to be on multiple therapies and adolescents will begin some their own medication management as they mature. Regular monitoring for adverse events and side effects of therapy is essential as youth will have a greater lifetime exposure compared to adults and long-term data is generally limited.</w:t>
      </w:r>
    </w:p>
    <w:p w14:paraId="47061305" w14:textId="77777777" w:rsidR="00474DCD" w:rsidRPr="001D2ADB" w:rsidRDefault="00474DCD" w:rsidP="001D2ADB">
      <w:pPr>
        <w:spacing w:after="0"/>
        <w:rPr>
          <w:rFonts w:ascii="Arial" w:hAnsi="Arial" w:cs="Arial"/>
        </w:rPr>
      </w:pPr>
    </w:p>
    <w:p w14:paraId="071BF37E" w14:textId="075BFF77" w:rsidR="00245556" w:rsidRPr="001D2ADB" w:rsidRDefault="00EA5E16" w:rsidP="001D2ADB">
      <w:pPr>
        <w:spacing w:after="0"/>
        <w:rPr>
          <w:rFonts w:ascii="Arial" w:hAnsi="Arial" w:cs="Arial"/>
          <w:b/>
        </w:rPr>
      </w:pPr>
      <w:r w:rsidRPr="001D2ADB">
        <w:rPr>
          <w:rFonts w:ascii="Arial" w:hAnsi="Arial" w:cs="Arial"/>
        </w:rPr>
        <w:lastRenderedPageBreak/>
        <w:t xml:space="preserve">As with all pharmacotherapy careful consideration should be given to potential drug interactions including those that may increase lipid levels. It is not uncommon for adolescent patients to be prescribed </w:t>
      </w:r>
      <w:r w:rsidR="00790035" w:rsidRPr="001D2ADB">
        <w:rPr>
          <w:rFonts w:ascii="Arial" w:hAnsi="Arial" w:cs="Arial"/>
        </w:rPr>
        <w:t xml:space="preserve">medications </w:t>
      </w:r>
      <w:r w:rsidRPr="001D2ADB">
        <w:rPr>
          <w:rFonts w:ascii="Arial" w:hAnsi="Arial" w:cs="Arial"/>
        </w:rPr>
        <w:t xml:space="preserve">which have the potential to </w:t>
      </w:r>
      <w:r w:rsidR="00790035" w:rsidRPr="001D2ADB">
        <w:rPr>
          <w:rFonts w:ascii="Arial" w:hAnsi="Arial" w:cs="Arial"/>
        </w:rPr>
        <w:t>negatively impact</w:t>
      </w:r>
      <w:r w:rsidRPr="001D2ADB">
        <w:rPr>
          <w:rFonts w:ascii="Arial" w:hAnsi="Arial" w:cs="Arial"/>
        </w:rPr>
        <w:t xml:space="preserve"> lipid levels</w:t>
      </w:r>
      <w:r w:rsidR="00790035" w:rsidRPr="001D2ADB">
        <w:rPr>
          <w:rFonts w:ascii="Arial" w:hAnsi="Arial" w:cs="Arial"/>
        </w:rPr>
        <w:t xml:space="preserve"> such as systemic steroids or oral contraceptive pills. Each patient case must be evaluated on an individual basis to determine the risk and benefit of prescribing medications which negatively alter lipid levels for patients also utilizing lipid lowering therapies.</w:t>
      </w:r>
      <w:r w:rsidR="00C2671A" w:rsidRPr="001D2ADB">
        <w:rPr>
          <w:rFonts w:ascii="Arial" w:hAnsi="Arial" w:cs="Arial"/>
        </w:rPr>
        <w:t xml:space="preserve"> It should be noted there is significant risk for adolescent females should they become pregnant while taking lipid lowering medications as </w:t>
      </w:r>
      <w:r w:rsidR="00E441DA" w:rsidRPr="001D2ADB">
        <w:rPr>
          <w:rFonts w:ascii="Arial" w:hAnsi="Arial" w:cs="Arial"/>
        </w:rPr>
        <w:t>some</w:t>
      </w:r>
      <w:r w:rsidR="00C2671A" w:rsidRPr="001D2ADB">
        <w:rPr>
          <w:rFonts w:ascii="Arial" w:hAnsi="Arial" w:cs="Arial"/>
        </w:rPr>
        <w:t xml:space="preserve"> have demonstrated a negative impact on fetal development. Adolescent females should be counselled regarding pregnancy and methods of contraception should be discussed. The US Medical Eligibility Criteria for Contraceptive Use compiled by the CDC details several contraceptive methods where the </w:t>
      </w:r>
      <w:r w:rsidR="00C76087" w:rsidRPr="001D2ADB">
        <w:rPr>
          <w:rFonts w:ascii="Arial" w:hAnsi="Arial" w:cs="Arial"/>
        </w:rPr>
        <w:t>benefits</w:t>
      </w:r>
      <w:r w:rsidR="00C2671A" w:rsidRPr="001D2ADB">
        <w:rPr>
          <w:rFonts w:ascii="Arial" w:hAnsi="Arial" w:cs="Arial"/>
        </w:rPr>
        <w:t xml:space="preserve"> generally outweigh </w:t>
      </w:r>
      <w:r w:rsidR="00C76087" w:rsidRPr="001D2ADB">
        <w:rPr>
          <w:rFonts w:ascii="Arial" w:hAnsi="Arial" w:cs="Arial"/>
        </w:rPr>
        <w:t xml:space="preserve">any </w:t>
      </w:r>
      <w:r w:rsidR="00C2671A" w:rsidRPr="001D2ADB">
        <w:rPr>
          <w:rFonts w:ascii="Arial" w:hAnsi="Arial" w:cs="Arial"/>
        </w:rPr>
        <w:t xml:space="preserve">theoretical </w:t>
      </w:r>
      <w:r w:rsidR="00C76087" w:rsidRPr="001D2ADB">
        <w:rPr>
          <w:rFonts w:ascii="Arial" w:hAnsi="Arial" w:cs="Arial"/>
        </w:rPr>
        <w:t>or proven risk for patients with hyperlipidemias</w:t>
      </w:r>
      <w:r w:rsidR="00E441DA" w:rsidRPr="001D2ADB">
        <w:rPr>
          <w:rFonts w:ascii="Arial" w:hAnsi="Arial" w:cs="Arial"/>
        </w:rPr>
        <w:t xml:space="preserve"> (1</w:t>
      </w:r>
      <w:r w:rsidR="00DF60EB" w:rsidRPr="001D2ADB">
        <w:rPr>
          <w:rFonts w:ascii="Arial" w:hAnsi="Arial" w:cs="Arial"/>
        </w:rPr>
        <w:t>2</w:t>
      </w:r>
      <w:r w:rsidR="00E441DA" w:rsidRPr="001D2ADB">
        <w:rPr>
          <w:rFonts w:ascii="Arial" w:hAnsi="Arial" w:cs="Arial"/>
        </w:rPr>
        <w:t>)</w:t>
      </w:r>
      <w:r w:rsidR="00C76087" w:rsidRPr="001D2ADB">
        <w:rPr>
          <w:rFonts w:ascii="Arial" w:hAnsi="Arial" w:cs="Arial"/>
        </w:rPr>
        <w:t>.</w:t>
      </w:r>
    </w:p>
    <w:p w14:paraId="5F900A99" w14:textId="77777777" w:rsidR="00474DCD" w:rsidRPr="001D2ADB" w:rsidRDefault="00474DCD" w:rsidP="001D2ADB">
      <w:pPr>
        <w:spacing w:after="0"/>
        <w:outlineLvl w:val="0"/>
        <w:rPr>
          <w:rFonts w:ascii="Arial" w:hAnsi="Arial" w:cs="Arial"/>
        </w:rPr>
      </w:pPr>
    </w:p>
    <w:p w14:paraId="5658D162" w14:textId="4F1479C3" w:rsidR="001215C0" w:rsidRPr="001D2ADB" w:rsidRDefault="00375B2B" w:rsidP="001D2ADB">
      <w:pPr>
        <w:spacing w:after="0"/>
        <w:outlineLvl w:val="0"/>
        <w:rPr>
          <w:rFonts w:ascii="Arial" w:hAnsi="Arial" w:cs="Arial"/>
          <w:b/>
          <w:bCs/>
          <w:color w:val="0070C0"/>
        </w:rPr>
      </w:pPr>
      <w:r w:rsidRPr="001D2ADB">
        <w:rPr>
          <w:rFonts w:ascii="Arial" w:hAnsi="Arial" w:cs="Arial"/>
          <w:b/>
          <w:bCs/>
          <w:color w:val="0070C0"/>
        </w:rPr>
        <w:t>HMG-CoA REDUCTASE INHIBITORS</w:t>
      </w:r>
    </w:p>
    <w:p w14:paraId="21222C3B" w14:textId="77777777" w:rsidR="00474DCD" w:rsidRPr="001D2ADB" w:rsidRDefault="00474DCD" w:rsidP="001D2ADB">
      <w:pPr>
        <w:spacing w:after="0"/>
        <w:rPr>
          <w:rFonts w:ascii="Arial" w:hAnsi="Arial" w:cs="Arial"/>
        </w:rPr>
      </w:pPr>
    </w:p>
    <w:p w14:paraId="78987402" w14:textId="00063C83" w:rsidR="000D2D5E" w:rsidRPr="001D2ADB" w:rsidRDefault="00375B2B" w:rsidP="001D2ADB">
      <w:pPr>
        <w:spacing w:after="0"/>
        <w:rPr>
          <w:rFonts w:ascii="Arial" w:hAnsi="Arial" w:cs="Arial"/>
        </w:rPr>
      </w:pPr>
      <w:r w:rsidRPr="001D2ADB">
        <w:rPr>
          <w:rFonts w:ascii="Arial" w:hAnsi="Arial" w:cs="Arial"/>
        </w:rPr>
        <w:t>HMG-CoA reductase inhibitors, or statins, are</w:t>
      </w:r>
      <w:r w:rsidR="00510F08" w:rsidRPr="001D2ADB">
        <w:rPr>
          <w:rFonts w:ascii="Arial" w:hAnsi="Arial" w:cs="Arial"/>
        </w:rPr>
        <w:t xml:space="preserve"> </w:t>
      </w:r>
      <w:r w:rsidR="00285AB5" w:rsidRPr="001D2ADB">
        <w:rPr>
          <w:rFonts w:ascii="Arial" w:hAnsi="Arial" w:cs="Arial"/>
        </w:rPr>
        <w:t xml:space="preserve">recommended </w:t>
      </w:r>
      <w:r w:rsidR="00245556" w:rsidRPr="001D2ADB">
        <w:rPr>
          <w:rFonts w:ascii="Arial" w:hAnsi="Arial" w:cs="Arial"/>
        </w:rPr>
        <w:t xml:space="preserve">as </w:t>
      </w:r>
      <w:r w:rsidR="00510F08" w:rsidRPr="001D2ADB">
        <w:rPr>
          <w:rFonts w:ascii="Arial" w:hAnsi="Arial" w:cs="Arial"/>
        </w:rPr>
        <w:t xml:space="preserve">first line </w:t>
      </w:r>
      <w:r w:rsidRPr="001D2ADB">
        <w:rPr>
          <w:rFonts w:ascii="Arial" w:hAnsi="Arial" w:cs="Arial"/>
        </w:rPr>
        <w:t xml:space="preserve">treatment </w:t>
      </w:r>
      <w:r w:rsidR="008C56AB" w:rsidRPr="001D2ADB">
        <w:rPr>
          <w:rFonts w:ascii="Arial" w:hAnsi="Arial" w:cs="Arial"/>
        </w:rPr>
        <w:t>of youth</w:t>
      </w:r>
      <w:r w:rsidR="00510F08" w:rsidRPr="001D2ADB">
        <w:rPr>
          <w:rFonts w:ascii="Arial" w:hAnsi="Arial" w:cs="Arial"/>
        </w:rPr>
        <w:t xml:space="preserve"> with severe dyslipidemia who f</w:t>
      </w:r>
      <w:r w:rsidRPr="001D2ADB">
        <w:rPr>
          <w:rFonts w:ascii="Arial" w:hAnsi="Arial" w:cs="Arial"/>
        </w:rPr>
        <w:t>ail</w:t>
      </w:r>
      <w:r w:rsidR="00510F08" w:rsidRPr="001D2ADB">
        <w:rPr>
          <w:rFonts w:ascii="Arial" w:hAnsi="Arial" w:cs="Arial"/>
        </w:rPr>
        <w:t xml:space="preserve"> non-pharmacologic </w:t>
      </w:r>
      <w:r w:rsidRPr="001D2ADB">
        <w:rPr>
          <w:rFonts w:ascii="Arial" w:hAnsi="Arial" w:cs="Arial"/>
        </w:rPr>
        <w:t>interventions</w:t>
      </w:r>
      <w:r w:rsidR="00245556" w:rsidRPr="001D2ADB">
        <w:rPr>
          <w:rFonts w:ascii="Arial" w:hAnsi="Arial" w:cs="Arial"/>
        </w:rPr>
        <w:t xml:space="preserve"> (</w:t>
      </w:r>
      <w:r w:rsidR="006A6C95" w:rsidRPr="001D2ADB">
        <w:rPr>
          <w:rFonts w:ascii="Arial" w:hAnsi="Arial" w:cs="Arial"/>
        </w:rPr>
        <w:t>i.e.,</w:t>
      </w:r>
      <w:r w:rsidR="00245556" w:rsidRPr="001D2ADB">
        <w:rPr>
          <w:rFonts w:ascii="Arial" w:hAnsi="Arial" w:cs="Arial"/>
        </w:rPr>
        <w:t xml:space="preserve"> </w:t>
      </w:r>
      <w:r w:rsidR="00285AB5" w:rsidRPr="001D2ADB">
        <w:rPr>
          <w:rFonts w:ascii="Arial" w:hAnsi="Arial" w:cs="Arial"/>
        </w:rPr>
        <w:t>diet and lifestyle modification</w:t>
      </w:r>
      <w:r w:rsidR="00245556" w:rsidRPr="001D2ADB">
        <w:rPr>
          <w:rFonts w:ascii="Arial" w:hAnsi="Arial" w:cs="Arial"/>
        </w:rPr>
        <w:t>)</w:t>
      </w:r>
      <w:r w:rsidR="00E441DA" w:rsidRPr="001D2ADB">
        <w:rPr>
          <w:rFonts w:ascii="Arial" w:hAnsi="Arial" w:cs="Arial"/>
        </w:rPr>
        <w:t xml:space="preserve"> (8-11)</w:t>
      </w:r>
      <w:r w:rsidRPr="001D2ADB">
        <w:rPr>
          <w:rFonts w:ascii="Arial" w:hAnsi="Arial" w:cs="Arial"/>
        </w:rPr>
        <w:t>.</w:t>
      </w:r>
      <w:r w:rsidR="006A6C95" w:rsidRPr="001D2ADB">
        <w:rPr>
          <w:rFonts w:ascii="Arial" w:hAnsi="Arial" w:cs="Arial"/>
        </w:rPr>
        <w:t xml:space="preserve"> Statins</w:t>
      </w:r>
      <w:r w:rsidRPr="001D2ADB">
        <w:rPr>
          <w:rFonts w:ascii="Arial" w:hAnsi="Arial" w:cs="Arial"/>
        </w:rPr>
        <w:t xml:space="preserve"> first debuted in clinical practice in 1987 with the FDA</w:t>
      </w:r>
      <w:r w:rsidR="00245556" w:rsidRPr="001D2ADB">
        <w:rPr>
          <w:rFonts w:ascii="Arial" w:hAnsi="Arial" w:cs="Arial"/>
        </w:rPr>
        <w:t>’s</w:t>
      </w:r>
      <w:r w:rsidRPr="001D2ADB">
        <w:rPr>
          <w:rFonts w:ascii="Arial" w:hAnsi="Arial" w:cs="Arial"/>
        </w:rPr>
        <w:t xml:space="preserve"> approval</w:t>
      </w:r>
      <w:r w:rsidR="00245556" w:rsidRPr="001D2ADB">
        <w:rPr>
          <w:rFonts w:ascii="Arial" w:hAnsi="Arial" w:cs="Arial"/>
        </w:rPr>
        <w:t xml:space="preserve"> of lovastatin. At present</w:t>
      </w:r>
      <w:r w:rsidRPr="001D2ADB">
        <w:rPr>
          <w:rFonts w:ascii="Arial" w:hAnsi="Arial" w:cs="Arial"/>
        </w:rPr>
        <w:t xml:space="preserve">, there are </w:t>
      </w:r>
      <w:r w:rsidR="004453A4" w:rsidRPr="001D2ADB">
        <w:rPr>
          <w:rFonts w:ascii="Arial" w:hAnsi="Arial" w:cs="Arial"/>
        </w:rPr>
        <w:t>seven</w:t>
      </w:r>
      <w:r w:rsidRPr="001D2ADB">
        <w:rPr>
          <w:rFonts w:ascii="Arial" w:hAnsi="Arial" w:cs="Arial"/>
        </w:rPr>
        <w:t xml:space="preserve"> HMG-CoA reductase inhibitors with FDA approval</w:t>
      </w:r>
      <w:r w:rsidR="007E4821" w:rsidRPr="001D2ADB">
        <w:rPr>
          <w:rFonts w:ascii="Arial" w:hAnsi="Arial" w:cs="Arial"/>
        </w:rPr>
        <w:t xml:space="preserve">, at varying dosages, </w:t>
      </w:r>
      <w:r w:rsidRPr="001D2ADB">
        <w:rPr>
          <w:rFonts w:ascii="Arial" w:hAnsi="Arial" w:cs="Arial"/>
        </w:rPr>
        <w:t xml:space="preserve">for </w:t>
      </w:r>
      <w:r w:rsidR="00510F08" w:rsidRPr="001D2ADB">
        <w:rPr>
          <w:rFonts w:ascii="Arial" w:hAnsi="Arial" w:cs="Arial"/>
        </w:rPr>
        <w:t xml:space="preserve">youth </w:t>
      </w:r>
      <w:r w:rsidRPr="001D2ADB">
        <w:rPr>
          <w:rFonts w:ascii="Arial" w:hAnsi="Arial" w:cs="Arial"/>
        </w:rPr>
        <w:t>with heterozygous familial hypercholesterolemia</w:t>
      </w:r>
      <w:r w:rsidR="00047844" w:rsidRPr="001D2ADB">
        <w:rPr>
          <w:rFonts w:ascii="Arial" w:hAnsi="Arial" w:cs="Arial"/>
        </w:rPr>
        <w:t>. Lovastatin, simvastatin, atorvastatin and fluvastatin are approved for children 10 years of age and older. Pitavastatin and pravastatin are approved starting at 8 years of age and rosuvastatin is indicated in children as early as age 6</w:t>
      </w:r>
      <w:r w:rsidR="00E441DA" w:rsidRPr="001D2ADB">
        <w:rPr>
          <w:rFonts w:ascii="Arial" w:hAnsi="Arial" w:cs="Arial"/>
        </w:rPr>
        <w:t xml:space="preserve"> (1</w:t>
      </w:r>
      <w:r w:rsidR="00DF60EB" w:rsidRPr="001D2ADB">
        <w:rPr>
          <w:rFonts w:ascii="Arial" w:hAnsi="Arial" w:cs="Arial"/>
        </w:rPr>
        <w:t>3-2</w:t>
      </w:r>
      <w:r w:rsidR="001F1AD5" w:rsidRPr="001D2ADB">
        <w:rPr>
          <w:rFonts w:ascii="Arial" w:hAnsi="Arial" w:cs="Arial"/>
        </w:rPr>
        <w:t>1</w:t>
      </w:r>
      <w:r w:rsidR="00E441DA" w:rsidRPr="001D2ADB">
        <w:rPr>
          <w:rFonts w:ascii="Arial" w:hAnsi="Arial" w:cs="Arial"/>
        </w:rPr>
        <w:t>)</w:t>
      </w:r>
      <w:r w:rsidRPr="001D2ADB">
        <w:rPr>
          <w:rFonts w:ascii="Arial" w:hAnsi="Arial" w:cs="Arial"/>
        </w:rPr>
        <w:t>.</w:t>
      </w:r>
      <w:r w:rsidR="00F2226E" w:rsidRPr="001D2ADB">
        <w:rPr>
          <w:rFonts w:ascii="Arial" w:hAnsi="Arial" w:cs="Arial"/>
        </w:rPr>
        <w:t xml:space="preserve"> Table 3 provides a summary of HMG-CoA reductase inhibitors, pediatric approval and indications, recommended dosing ranges, comments on dosing, and supporting clinical trials</w:t>
      </w:r>
      <w:r w:rsidR="00607C47" w:rsidRPr="001D2ADB">
        <w:rPr>
          <w:rFonts w:ascii="Arial" w:hAnsi="Arial" w:cs="Arial"/>
        </w:rPr>
        <w:t xml:space="preserve"> (13-21).</w:t>
      </w:r>
    </w:p>
    <w:p w14:paraId="32FA3CE5" w14:textId="77777777" w:rsidR="000D2D5E" w:rsidRPr="001D2ADB" w:rsidRDefault="000D2D5E" w:rsidP="001D2ADB">
      <w:pPr>
        <w:spacing w:after="0"/>
        <w:rPr>
          <w:rFonts w:ascii="Arial" w:hAnsi="Arial" w:cs="Arial"/>
        </w:rPr>
      </w:pPr>
    </w:p>
    <w:tbl>
      <w:tblPr>
        <w:tblStyle w:val="TableGrid"/>
        <w:tblW w:w="8830" w:type="dxa"/>
        <w:tblLook w:val="00A0" w:firstRow="1" w:lastRow="0" w:firstColumn="1" w:lastColumn="0" w:noHBand="0" w:noVBand="0"/>
      </w:tblPr>
      <w:tblGrid>
        <w:gridCol w:w="1599"/>
        <w:gridCol w:w="2308"/>
        <w:gridCol w:w="1119"/>
        <w:gridCol w:w="2100"/>
        <w:gridCol w:w="1704"/>
      </w:tblGrid>
      <w:tr w:rsidR="00502B19" w:rsidRPr="001D2ADB" w14:paraId="0EFC3ABD" w14:textId="77777777" w:rsidTr="005F69B3">
        <w:trPr>
          <w:trHeight w:val="368"/>
        </w:trPr>
        <w:tc>
          <w:tcPr>
            <w:tcW w:w="8830" w:type="dxa"/>
            <w:gridSpan w:val="5"/>
            <w:shd w:val="clear" w:color="auto" w:fill="FFFF00"/>
          </w:tcPr>
          <w:p w14:paraId="12778A2A" w14:textId="6D9B13D7" w:rsidR="00502B19" w:rsidRPr="001D2ADB" w:rsidRDefault="00502B19" w:rsidP="001D2ADB">
            <w:pPr>
              <w:spacing w:after="0"/>
              <w:rPr>
                <w:rFonts w:ascii="Arial" w:hAnsi="Arial" w:cs="Arial"/>
                <w:b/>
                <w:bCs/>
                <w:color w:val="000000"/>
              </w:rPr>
            </w:pPr>
            <w:r w:rsidRPr="001D2ADB">
              <w:rPr>
                <w:rFonts w:ascii="Arial" w:hAnsi="Arial" w:cs="Arial"/>
                <w:b/>
                <w:bCs/>
                <w:color w:val="000000"/>
              </w:rPr>
              <w:t xml:space="preserve">Table 3. HMG-CoA Reductase Inhibitors </w:t>
            </w:r>
          </w:p>
        </w:tc>
      </w:tr>
      <w:tr w:rsidR="00502B19" w:rsidRPr="001D2ADB" w14:paraId="1AF84526" w14:textId="77777777" w:rsidTr="005F69B3">
        <w:trPr>
          <w:trHeight w:val="510"/>
        </w:trPr>
        <w:tc>
          <w:tcPr>
            <w:tcW w:w="1445" w:type="dxa"/>
          </w:tcPr>
          <w:p w14:paraId="7D661117"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Medication</w:t>
            </w:r>
          </w:p>
        </w:tc>
        <w:tc>
          <w:tcPr>
            <w:tcW w:w="2070" w:type="dxa"/>
          </w:tcPr>
          <w:p w14:paraId="4FAA948B"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Pediatric Approvals &amp; Indications</w:t>
            </w:r>
          </w:p>
        </w:tc>
        <w:tc>
          <w:tcPr>
            <w:tcW w:w="1170" w:type="dxa"/>
          </w:tcPr>
          <w:p w14:paraId="5E1175A1"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Dosing</w:t>
            </w:r>
          </w:p>
        </w:tc>
        <w:tc>
          <w:tcPr>
            <w:tcW w:w="2340" w:type="dxa"/>
          </w:tcPr>
          <w:p w14:paraId="5EDA9939"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Comments</w:t>
            </w:r>
          </w:p>
        </w:tc>
        <w:tc>
          <w:tcPr>
            <w:tcW w:w="1805" w:type="dxa"/>
          </w:tcPr>
          <w:p w14:paraId="03350397"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Supporting</w:t>
            </w:r>
          </w:p>
          <w:p w14:paraId="23D77034"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Clinical Trials</w:t>
            </w:r>
          </w:p>
        </w:tc>
      </w:tr>
      <w:tr w:rsidR="00502B19" w:rsidRPr="001D2ADB" w14:paraId="6DD85AA8" w14:textId="77777777" w:rsidTr="005F69B3">
        <w:trPr>
          <w:trHeight w:val="780"/>
        </w:trPr>
        <w:tc>
          <w:tcPr>
            <w:tcW w:w="1445" w:type="dxa"/>
          </w:tcPr>
          <w:p w14:paraId="41818D82"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Atorvastatin</w:t>
            </w:r>
          </w:p>
        </w:tc>
        <w:tc>
          <w:tcPr>
            <w:tcW w:w="2070" w:type="dxa"/>
          </w:tcPr>
          <w:p w14:paraId="221E91BD" w14:textId="77777777" w:rsidR="00502B19" w:rsidRPr="001D2ADB" w:rsidRDefault="00502B19" w:rsidP="001D2ADB">
            <w:pPr>
              <w:spacing w:after="0"/>
              <w:rPr>
                <w:rFonts w:ascii="Arial" w:hAnsi="Arial" w:cs="Arial"/>
                <w:color w:val="000000"/>
              </w:rPr>
            </w:pPr>
            <w:r w:rsidRPr="001D2ADB">
              <w:rPr>
                <w:rFonts w:ascii="Arial" w:hAnsi="Arial" w:cs="Arial"/>
                <w:color w:val="000000"/>
              </w:rPr>
              <w:t>Age 10-17</w:t>
            </w:r>
            <w:r w:rsidRPr="001D2ADB">
              <w:rPr>
                <w:rFonts w:ascii="Arial" w:hAnsi="Arial" w:cs="Arial"/>
                <w:color w:val="000000"/>
              </w:rPr>
              <w:br/>
              <w:t>Heterozygous familial hypercholesterolemia</w:t>
            </w:r>
          </w:p>
        </w:tc>
        <w:tc>
          <w:tcPr>
            <w:tcW w:w="1170" w:type="dxa"/>
          </w:tcPr>
          <w:p w14:paraId="09C9CD84" w14:textId="77777777" w:rsidR="00502B19" w:rsidRPr="001D2ADB" w:rsidRDefault="00502B19" w:rsidP="001D2ADB">
            <w:pPr>
              <w:spacing w:after="0"/>
              <w:rPr>
                <w:rFonts w:ascii="Arial" w:hAnsi="Arial" w:cs="Arial"/>
                <w:color w:val="000000"/>
              </w:rPr>
            </w:pPr>
            <w:r w:rsidRPr="001D2ADB">
              <w:rPr>
                <w:rFonts w:ascii="Arial" w:hAnsi="Arial" w:cs="Arial"/>
                <w:color w:val="000000"/>
              </w:rPr>
              <w:t>10-20 mg/day</w:t>
            </w:r>
          </w:p>
        </w:tc>
        <w:tc>
          <w:tcPr>
            <w:tcW w:w="2340" w:type="dxa"/>
          </w:tcPr>
          <w:p w14:paraId="1DDDE9DE" w14:textId="698AE337" w:rsidR="00502B19" w:rsidRPr="001D2ADB" w:rsidRDefault="00502B19" w:rsidP="001D2ADB">
            <w:pPr>
              <w:spacing w:after="0"/>
              <w:rPr>
                <w:rFonts w:ascii="Arial" w:hAnsi="Arial" w:cs="Arial"/>
                <w:color w:val="000000"/>
              </w:rPr>
            </w:pPr>
            <w:r w:rsidRPr="001D2ADB">
              <w:rPr>
                <w:rFonts w:ascii="Arial" w:hAnsi="Arial" w:cs="Arial"/>
                <w:color w:val="000000"/>
              </w:rPr>
              <w:t xml:space="preserve">May be titrated at ≥ </w:t>
            </w:r>
            <w:r w:rsidR="006A6C95" w:rsidRPr="001D2ADB">
              <w:rPr>
                <w:rFonts w:ascii="Arial" w:hAnsi="Arial" w:cs="Arial"/>
                <w:color w:val="000000"/>
              </w:rPr>
              <w:t>4-week</w:t>
            </w:r>
            <w:r w:rsidRPr="001D2ADB">
              <w:rPr>
                <w:rFonts w:ascii="Arial" w:hAnsi="Arial" w:cs="Arial"/>
                <w:color w:val="000000"/>
              </w:rPr>
              <w:t xml:space="preserve"> intervals</w:t>
            </w:r>
          </w:p>
        </w:tc>
        <w:tc>
          <w:tcPr>
            <w:tcW w:w="1805" w:type="dxa"/>
          </w:tcPr>
          <w:p w14:paraId="6561A3DE" w14:textId="0CD25C29" w:rsidR="00502B19" w:rsidRPr="001D2ADB" w:rsidRDefault="00502B19" w:rsidP="001D2ADB">
            <w:pPr>
              <w:spacing w:after="0"/>
              <w:rPr>
                <w:rFonts w:ascii="Arial" w:hAnsi="Arial" w:cs="Arial"/>
                <w:color w:val="000000"/>
                <w:vertAlign w:val="superscript"/>
              </w:rPr>
            </w:pPr>
            <w:r w:rsidRPr="001D2ADB">
              <w:rPr>
                <w:rFonts w:ascii="Arial" w:hAnsi="Arial" w:cs="Arial"/>
                <w:color w:val="000000"/>
              </w:rPr>
              <w:t>McCrindle, et al</w:t>
            </w:r>
            <w:r w:rsidR="00DF60EB" w:rsidRPr="001D2ADB">
              <w:rPr>
                <w:rFonts w:ascii="Arial" w:hAnsi="Arial" w:cs="Arial"/>
                <w:color w:val="000000"/>
              </w:rPr>
              <w:t xml:space="preserve"> (22</w:t>
            </w:r>
            <w:r w:rsidR="00E441DA" w:rsidRPr="001D2ADB">
              <w:rPr>
                <w:rFonts w:ascii="Arial" w:hAnsi="Arial" w:cs="Arial"/>
                <w:color w:val="000000"/>
              </w:rPr>
              <w:t>)</w:t>
            </w:r>
          </w:p>
        </w:tc>
      </w:tr>
      <w:tr w:rsidR="00502B19" w:rsidRPr="001D2ADB" w14:paraId="6492937A" w14:textId="77777777" w:rsidTr="005F69B3">
        <w:trPr>
          <w:trHeight w:val="780"/>
        </w:trPr>
        <w:tc>
          <w:tcPr>
            <w:tcW w:w="1445" w:type="dxa"/>
          </w:tcPr>
          <w:p w14:paraId="201AC529"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Fluvastatin</w:t>
            </w:r>
          </w:p>
        </w:tc>
        <w:tc>
          <w:tcPr>
            <w:tcW w:w="2070" w:type="dxa"/>
          </w:tcPr>
          <w:p w14:paraId="3E0A7F8D" w14:textId="77777777" w:rsidR="00502B19" w:rsidRPr="001D2ADB" w:rsidRDefault="00502B19" w:rsidP="001D2ADB">
            <w:pPr>
              <w:spacing w:after="0"/>
              <w:rPr>
                <w:rFonts w:ascii="Arial" w:hAnsi="Arial" w:cs="Arial"/>
                <w:color w:val="000000"/>
              </w:rPr>
            </w:pPr>
            <w:r w:rsidRPr="001D2ADB">
              <w:rPr>
                <w:rFonts w:ascii="Arial" w:hAnsi="Arial" w:cs="Arial"/>
                <w:color w:val="000000"/>
              </w:rPr>
              <w:t>Age 10-16</w:t>
            </w:r>
            <w:r w:rsidRPr="001D2ADB">
              <w:rPr>
                <w:rFonts w:ascii="Arial" w:hAnsi="Arial" w:cs="Arial"/>
                <w:color w:val="000000"/>
              </w:rPr>
              <w:br/>
              <w:t>Heterozygous familial hypercholesterolemia</w:t>
            </w:r>
          </w:p>
        </w:tc>
        <w:tc>
          <w:tcPr>
            <w:tcW w:w="1170" w:type="dxa"/>
          </w:tcPr>
          <w:p w14:paraId="33CC0CE7" w14:textId="77777777" w:rsidR="00502B19" w:rsidRPr="001D2ADB" w:rsidRDefault="00502B19" w:rsidP="001D2ADB">
            <w:pPr>
              <w:spacing w:after="0"/>
              <w:rPr>
                <w:rFonts w:ascii="Arial" w:hAnsi="Arial" w:cs="Arial"/>
                <w:color w:val="000000"/>
              </w:rPr>
            </w:pPr>
            <w:r w:rsidRPr="001D2ADB">
              <w:rPr>
                <w:rFonts w:ascii="Arial" w:hAnsi="Arial" w:cs="Arial"/>
                <w:color w:val="000000"/>
              </w:rPr>
              <w:t>20-80 mg/day</w:t>
            </w:r>
          </w:p>
        </w:tc>
        <w:tc>
          <w:tcPr>
            <w:tcW w:w="2340" w:type="dxa"/>
          </w:tcPr>
          <w:p w14:paraId="3617DB1A" w14:textId="5927B159" w:rsidR="00502B19" w:rsidRPr="001D2ADB" w:rsidRDefault="00502B19" w:rsidP="001D2ADB">
            <w:pPr>
              <w:spacing w:after="0"/>
              <w:rPr>
                <w:rFonts w:ascii="Arial" w:hAnsi="Arial" w:cs="Arial"/>
                <w:color w:val="000000"/>
              </w:rPr>
            </w:pPr>
            <w:r w:rsidRPr="001D2ADB">
              <w:rPr>
                <w:rFonts w:ascii="Arial" w:hAnsi="Arial" w:cs="Arial"/>
                <w:color w:val="000000"/>
              </w:rPr>
              <w:t xml:space="preserve">May be titrated at ≥ </w:t>
            </w:r>
            <w:r w:rsidR="006A6C95" w:rsidRPr="001D2ADB">
              <w:rPr>
                <w:rFonts w:ascii="Arial" w:hAnsi="Arial" w:cs="Arial"/>
                <w:color w:val="000000"/>
              </w:rPr>
              <w:t>6-week</w:t>
            </w:r>
            <w:r w:rsidRPr="001D2ADB">
              <w:rPr>
                <w:rFonts w:ascii="Arial" w:hAnsi="Arial" w:cs="Arial"/>
                <w:color w:val="000000"/>
              </w:rPr>
              <w:t xml:space="preserve"> intervals</w:t>
            </w:r>
          </w:p>
        </w:tc>
        <w:tc>
          <w:tcPr>
            <w:tcW w:w="1805" w:type="dxa"/>
          </w:tcPr>
          <w:p w14:paraId="4C3D3E79" w14:textId="3E8A3429" w:rsidR="00502B19" w:rsidRPr="001D2ADB" w:rsidRDefault="00502B19" w:rsidP="001D2ADB">
            <w:pPr>
              <w:spacing w:after="0"/>
              <w:rPr>
                <w:rFonts w:ascii="Arial" w:hAnsi="Arial" w:cs="Arial"/>
                <w:color w:val="000000"/>
                <w:vertAlign w:val="superscript"/>
              </w:rPr>
            </w:pPr>
            <w:r w:rsidRPr="001D2ADB">
              <w:rPr>
                <w:rFonts w:ascii="Arial" w:hAnsi="Arial" w:cs="Arial"/>
                <w:color w:val="000000"/>
              </w:rPr>
              <w:t>van der Graaf, et al</w:t>
            </w:r>
            <w:r w:rsidR="00E441DA" w:rsidRPr="001D2ADB">
              <w:rPr>
                <w:rFonts w:ascii="Arial" w:hAnsi="Arial" w:cs="Arial"/>
                <w:color w:val="000000"/>
              </w:rPr>
              <w:t xml:space="preserve"> (2</w:t>
            </w:r>
            <w:r w:rsidR="00DF60EB" w:rsidRPr="001D2ADB">
              <w:rPr>
                <w:rFonts w:ascii="Arial" w:hAnsi="Arial" w:cs="Arial"/>
                <w:color w:val="000000"/>
              </w:rPr>
              <w:t>3</w:t>
            </w:r>
            <w:r w:rsidR="00E441DA" w:rsidRPr="001D2ADB">
              <w:rPr>
                <w:rFonts w:ascii="Arial" w:hAnsi="Arial" w:cs="Arial"/>
                <w:color w:val="000000"/>
              </w:rPr>
              <w:t>)</w:t>
            </w:r>
          </w:p>
        </w:tc>
      </w:tr>
      <w:tr w:rsidR="00502B19" w:rsidRPr="001D2ADB" w14:paraId="7DB4999E" w14:textId="77777777" w:rsidTr="005F69B3">
        <w:trPr>
          <w:trHeight w:val="1275"/>
        </w:trPr>
        <w:tc>
          <w:tcPr>
            <w:tcW w:w="1445" w:type="dxa"/>
          </w:tcPr>
          <w:p w14:paraId="6630A242"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Lovastatin</w:t>
            </w:r>
          </w:p>
        </w:tc>
        <w:tc>
          <w:tcPr>
            <w:tcW w:w="2070" w:type="dxa"/>
          </w:tcPr>
          <w:p w14:paraId="72CDB03D" w14:textId="77777777" w:rsidR="00502B19" w:rsidRPr="001D2ADB" w:rsidRDefault="00502B19" w:rsidP="001D2ADB">
            <w:pPr>
              <w:spacing w:after="0"/>
              <w:rPr>
                <w:rFonts w:ascii="Arial" w:hAnsi="Arial" w:cs="Arial"/>
                <w:color w:val="000000"/>
              </w:rPr>
            </w:pPr>
            <w:r w:rsidRPr="001D2ADB">
              <w:rPr>
                <w:rFonts w:ascii="Arial" w:hAnsi="Arial" w:cs="Arial"/>
                <w:color w:val="000000"/>
              </w:rPr>
              <w:t>Age 10-17</w:t>
            </w:r>
            <w:r w:rsidRPr="001D2ADB">
              <w:rPr>
                <w:rFonts w:ascii="Arial" w:hAnsi="Arial" w:cs="Arial"/>
                <w:color w:val="000000"/>
              </w:rPr>
              <w:br/>
              <w:t>Heterozygous familial hypercholesterolemia</w:t>
            </w:r>
          </w:p>
        </w:tc>
        <w:tc>
          <w:tcPr>
            <w:tcW w:w="1170" w:type="dxa"/>
          </w:tcPr>
          <w:p w14:paraId="57EF1470" w14:textId="77777777" w:rsidR="00502B19" w:rsidRPr="001D2ADB" w:rsidRDefault="00502B19" w:rsidP="001D2ADB">
            <w:pPr>
              <w:spacing w:after="0"/>
              <w:rPr>
                <w:rFonts w:ascii="Arial" w:hAnsi="Arial" w:cs="Arial"/>
                <w:color w:val="000000"/>
              </w:rPr>
            </w:pPr>
            <w:r w:rsidRPr="001D2ADB">
              <w:rPr>
                <w:rFonts w:ascii="Arial" w:hAnsi="Arial" w:cs="Arial"/>
                <w:color w:val="000000"/>
              </w:rPr>
              <w:t>10-40 mg/day</w:t>
            </w:r>
          </w:p>
        </w:tc>
        <w:tc>
          <w:tcPr>
            <w:tcW w:w="2340" w:type="dxa"/>
          </w:tcPr>
          <w:p w14:paraId="09EFE555" w14:textId="32B07C9E" w:rsidR="00502B19" w:rsidRPr="001D2ADB" w:rsidRDefault="00502B19" w:rsidP="001D2ADB">
            <w:pPr>
              <w:spacing w:after="0"/>
              <w:rPr>
                <w:rFonts w:ascii="Arial" w:hAnsi="Arial" w:cs="Arial"/>
                <w:color w:val="000000"/>
              </w:rPr>
            </w:pPr>
            <w:r w:rsidRPr="001D2ADB">
              <w:rPr>
                <w:rFonts w:ascii="Arial" w:hAnsi="Arial" w:cs="Arial"/>
                <w:color w:val="000000"/>
              </w:rPr>
              <w:t xml:space="preserve">Initiated at 20 mg/day for ≥20% LDL reduction, may be titrated at ≥ </w:t>
            </w:r>
            <w:r w:rsidR="006A6C95" w:rsidRPr="001D2ADB">
              <w:rPr>
                <w:rFonts w:ascii="Arial" w:hAnsi="Arial" w:cs="Arial"/>
                <w:color w:val="000000"/>
              </w:rPr>
              <w:t>4-week</w:t>
            </w:r>
            <w:r w:rsidRPr="001D2ADB">
              <w:rPr>
                <w:rFonts w:ascii="Arial" w:hAnsi="Arial" w:cs="Arial"/>
                <w:color w:val="000000"/>
              </w:rPr>
              <w:t xml:space="preserve"> intervals</w:t>
            </w:r>
          </w:p>
        </w:tc>
        <w:tc>
          <w:tcPr>
            <w:tcW w:w="1805" w:type="dxa"/>
          </w:tcPr>
          <w:p w14:paraId="533D9CC8" w14:textId="3372C5E8" w:rsidR="00502B19" w:rsidRPr="001D2ADB" w:rsidRDefault="00502B19" w:rsidP="001D2ADB">
            <w:pPr>
              <w:spacing w:after="0"/>
              <w:rPr>
                <w:rFonts w:ascii="Arial" w:hAnsi="Arial" w:cs="Arial"/>
                <w:color w:val="000000"/>
                <w:vertAlign w:val="superscript"/>
              </w:rPr>
            </w:pPr>
            <w:r w:rsidRPr="001D2ADB">
              <w:rPr>
                <w:rFonts w:ascii="Arial" w:hAnsi="Arial" w:cs="Arial"/>
                <w:color w:val="000000"/>
              </w:rPr>
              <w:t>Clauss, et al</w:t>
            </w:r>
            <w:r w:rsidR="00E441DA" w:rsidRPr="001D2ADB">
              <w:rPr>
                <w:rFonts w:ascii="Arial" w:hAnsi="Arial" w:cs="Arial"/>
                <w:color w:val="000000"/>
              </w:rPr>
              <w:t xml:space="preserve"> (2</w:t>
            </w:r>
            <w:r w:rsidR="00DF60EB" w:rsidRPr="001D2ADB">
              <w:rPr>
                <w:rFonts w:ascii="Arial" w:hAnsi="Arial" w:cs="Arial"/>
                <w:color w:val="000000"/>
              </w:rPr>
              <w:t>4</w:t>
            </w:r>
            <w:r w:rsidR="00E441DA" w:rsidRPr="001D2ADB">
              <w:rPr>
                <w:rFonts w:ascii="Arial" w:hAnsi="Arial" w:cs="Arial"/>
                <w:color w:val="000000"/>
              </w:rPr>
              <w:t>)</w:t>
            </w:r>
            <w:r w:rsidRPr="001D2ADB">
              <w:rPr>
                <w:rFonts w:ascii="Arial" w:hAnsi="Arial" w:cs="Arial"/>
                <w:color w:val="000000"/>
              </w:rPr>
              <w:br/>
              <w:t>Lambert, et al</w:t>
            </w:r>
            <w:r w:rsidR="00DF60EB" w:rsidRPr="001D2ADB">
              <w:rPr>
                <w:rFonts w:ascii="Arial" w:hAnsi="Arial" w:cs="Arial"/>
                <w:color w:val="000000"/>
              </w:rPr>
              <w:t xml:space="preserve"> (25</w:t>
            </w:r>
            <w:r w:rsidR="00E441DA" w:rsidRPr="001D2ADB">
              <w:rPr>
                <w:rFonts w:ascii="Arial" w:hAnsi="Arial" w:cs="Arial"/>
                <w:color w:val="000000"/>
              </w:rPr>
              <w:t>)</w:t>
            </w:r>
            <w:r w:rsidRPr="001D2ADB">
              <w:rPr>
                <w:rFonts w:ascii="Arial" w:hAnsi="Arial" w:cs="Arial"/>
                <w:color w:val="000000"/>
              </w:rPr>
              <w:br/>
              <w:t>Stein, et al</w:t>
            </w:r>
            <w:r w:rsidR="00DF60EB" w:rsidRPr="001D2ADB">
              <w:rPr>
                <w:rFonts w:ascii="Arial" w:hAnsi="Arial" w:cs="Arial"/>
                <w:color w:val="000000"/>
              </w:rPr>
              <w:t xml:space="preserve"> (26</w:t>
            </w:r>
            <w:r w:rsidR="00E441DA" w:rsidRPr="001D2ADB">
              <w:rPr>
                <w:rFonts w:ascii="Arial" w:hAnsi="Arial" w:cs="Arial"/>
                <w:color w:val="000000"/>
              </w:rPr>
              <w:t>)</w:t>
            </w:r>
          </w:p>
        </w:tc>
      </w:tr>
      <w:tr w:rsidR="00502B19" w:rsidRPr="001D2ADB" w14:paraId="108D4A91" w14:textId="77777777" w:rsidTr="005F69B3">
        <w:trPr>
          <w:trHeight w:val="780"/>
        </w:trPr>
        <w:tc>
          <w:tcPr>
            <w:tcW w:w="1445" w:type="dxa"/>
          </w:tcPr>
          <w:p w14:paraId="147630FF"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lastRenderedPageBreak/>
              <w:t>Pravastatin</w:t>
            </w:r>
          </w:p>
        </w:tc>
        <w:tc>
          <w:tcPr>
            <w:tcW w:w="2070" w:type="dxa"/>
          </w:tcPr>
          <w:p w14:paraId="15425E03" w14:textId="77777777" w:rsidR="00502B19" w:rsidRPr="001D2ADB" w:rsidRDefault="00502B19" w:rsidP="001D2ADB">
            <w:pPr>
              <w:spacing w:after="0"/>
              <w:rPr>
                <w:rFonts w:ascii="Arial" w:hAnsi="Arial" w:cs="Arial"/>
                <w:color w:val="000000"/>
              </w:rPr>
            </w:pPr>
            <w:r w:rsidRPr="001D2ADB">
              <w:rPr>
                <w:rFonts w:ascii="Arial" w:hAnsi="Arial" w:cs="Arial"/>
                <w:color w:val="000000"/>
              </w:rPr>
              <w:t>Age 8 and older</w:t>
            </w:r>
            <w:r w:rsidRPr="001D2ADB">
              <w:rPr>
                <w:rFonts w:ascii="Arial" w:hAnsi="Arial" w:cs="Arial"/>
                <w:color w:val="000000"/>
              </w:rPr>
              <w:br/>
              <w:t>Heterozygous familial hypercholesterolemia</w:t>
            </w:r>
          </w:p>
        </w:tc>
        <w:tc>
          <w:tcPr>
            <w:tcW w:w="1170" w:type="dxa"/>
          </w:tcPr>
          <w:p w14:paraId="2E1D557C" w14:textId="77777777" w:rsidR="00502B19" w:rsidRPr="001D2ADB" w:rsidRDefault="00502B19" w:rsidP="001D2ADB">
            <w:pPr>
              <w:spacing w:after="0"/>
              <w:rPr>
                <w:rFonts w:ascii="Arial" w:hAnsi="Arial" w:cs="Arial"/>
                <w:color w:val="000000"/>
              </w:rPr>
            </w:pPr>
            <w:r w:rsidRPr="001D2ADB">
              <w:rPr>
                <w:rFonts w:ascii="Arial" w:hAnsi="Arial" w:cs="Arial"/>
                <w:color w:val="000000"/>
              </w:rPr>
              <w:t>20-40 mg/day</w:t>
            </w:r>
          </w:p>
        </w:tc>
        <w:tc>
          <w:tcPr>
            <w:tcW w:w="2340" w:type="dxa"/>
          </w:tcPr>
          <w:p w14:paraId="366538F5" w14:textId="77777777" w:rsidR="00502B19" w:rsidRPr="001D2ADB" w:rsidRDefault="00502B19" w:rsidP="001D2ADB">
            <w:pPr>
              <w:spacing w:after="0"/>
              <w:rPr>
                <w:rFonts w:ascii="Arial" w:hAnsi="Arial" w:cs="Arial"/>
                <w:color w:val="000000"/>
              </w:rPr>
            </w:pPr>
            <w:r w:rsidRPr="001D2ADB">
              <w:rPr>
                <w:rFonts w:ascii="Arial" w:hAnsi="Arial" w:cs="Arial"/>
                <w:color w:val="000000"/>
              </w:rPr>
              <w:t>Age 8-13: 20 mg/day</w:t>
            </w:r>
            <w:r w:rsidRPr="001D2ADB">
              <w:rPr>
                <w:rFonts w:ascii="Arial" w:hAnsi="Arial" w:cs="Arial"/>
                <w:color w:val="000000"/>
              </w:rPr>
              <w:br/>
              <w:t>Age 14-18: 40 mg/day</w:t>
            </w:r>
          </w:p>
        </w:tc>
        <w:tc>
          <w:tcPr>
            <w:tcW w:w="1805" w:type="dxa"/>
          </w:tcPr>
          <w:p w14:paraId="6446F0B5" w14:textId="44BA9BE7" w:rsidR="00502B19" w:rsidRPr="001D2ADB" w:rsidRDefault="00502B19" w:rsidP="001D2ADB">
            <w:pPr>
              <w:spacing w:after="0"/>
              <w:rPr>
                <w:rFonts w:ascii="Arial" w:hAnsi="Arial" w:cs="Arial"/>
                <w:color w:val="000000"/>
                <w:vertAlign w:val="superscript"/>
              </w:rPr>
            </w:pPr>
            <w:r w:rsidRPr="001D2ADB">
              <w:rPr>
                <w:rFonts w:ascii="Arial" w:hAnsi="Arial" w:cs="Arial"/>
                <w:color w:val="000000"/>
              </w:rPr>
              <w:t>Knipscheer, et al</w:t>
            </w:r>
            <w:r w:rsidR="00E441DA" w:rsidRPr="001D2ADB">
              <w:rPr>
                <w:rFonts w:ascii="Arial" w:hAnsi="Arial" w:cs="Arial"/>
                <w:color w:val="000000"/>
              </w:rPr>
              <w:t xml:space="preserve"> (2</w:t>
            </w:r>
            <w:r w:rsidR="00DF60EB" w:rsidRPr="001D2ADB">
              <w:rPr>
                <w:rFonts w:ascii="Arial" w:hAnsi="Arial" w:cs="Arial"/>
                <w:color w:val="000000"/>
              </w:rPr>
              <w:t>7</w:t>
            </w:r>
            <w:r w:rsidR="00E441DA" w:rsidRPr="001D2ADB">
              <w:rPr>
                <w:rFonts w:ascii="Arial" w:hAnsi="Arial" w:cs="Arial"/>
                <w:color w:val="000000"/>
              </w:rPr>
              <w:t>)</w:t>
            </w:r>
            <w:r w:rsidRPr="001D2ADB">
              <w:rPr>
                <w:rFonts w:ascii="Arial" w:hAnsi="Arial" w:cs="Arial"/>
                <w:color w:val="000000"/>
              </w:rPr>
              <w:br/>
              <w:t>Wiegman, et al</w:t>
            </w:r>
            <w:r w:rsidR="00DF60EB" w:rsidRPr="001D2ADB">
              <w:rPr>
                <w:rFonts w:ascii="Arial" w:hAnsi="Arial" w:cs="Arial"/>
                <w:color w:val="000000"/>
              </w:rPr>
              <w:t xml:space="preserve"> (28</w:t>
            </w:r>
            <w:r w:rsidR="00E441DA" w:rsidRPr="001D2ADB">
              <w:rPr>
                <w:rFonts w:ascii="Arial" w:hAnsi="Arial" w:cs="Arial"/>
                <w:color w:val="000000"/>
              </w:rPr>
              <w:t>)</w:t>
            </w:r>
            <w:r w:rsidRPr="001D2ADB">
              <w:rPr>
                <w:rFonts w:ascii="Arial" w:hAnsi="Arial" w:cs="Arial"/>
                <w:color w:val="000000"/>
              </w:rPr>
              <w:br/>
              <w:t>Rodenburg, et al</w:t>
            </w:r>
            <w:r w:rsidR="00E441DA" w:rsidRPr="001D2ADB">
              <w:rPr>
                <w:rFonts w:ascii="Arial" w:hAnsi="Arial" w:cs="Arial"/>
                <w:color w:val="000000"/>
              </w:rPr>
              <w:t xml:space="preserve"> (2</w:t>
            </w:r>
            <w:r w:rsidR="00DF60EB" w:rsidRPr="001D2ADB">
              <w:rPr>
                <w:rFonts w:ascii="Arial" w:hAnsi="Arial" w:cs="Arial"/>
                <w:color w:val="000000"/>
              </w:rPr>
              <w:t>9</w:t>
            </w:r>
            <w:r w:rsidR="00E441DA" w:rsidRPr="001D2ADB">
              <w:rPr>
                <w:rFonts w:ascii="Arial" w:hAnsi="Arial" w:cs="Arial"/>
                <w:color w:val="000000"/>
              </w:rPr>
              <w:t>)</w:t>
            </w:r>
          </w:p>
        </w:tc>
      </w:tr>
      <w:tr w:rsidR="00502B19" w:rsidRPr="001D2ADB" w14:paraId="4309DC0D" w14:textId="77777777" w:rsidTr="005F69B3">
        <w:trPr>
          <w:trHeight w:val="780"/>
        </w:trPr>
        <w:tc>
          <w:tcPr>
            <w:tcW w:w="1445" w:type="dxa"/>
          </w:tcPr>
          <w:p w14:paraId="177244FD"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Rosuvastatin</w:t>
            </w:r>
          </w:p>
        </w:tc>
        <w:tc>
          <w:tcPr>
            <w:tcW w:w="2070" w:type="dxa"/>
          </w:tcPr>
          <w:p w14:paraId="15CD6D1D" w14:textId="77777777" w:rsidR="00502B19" w:rsidRPr="001D2ADB" w:rsidRDefault="00502B19" w:rsidP="001D2ADB">
            <w:pPr>
              <w:spacing w:after="0"/>
              <w:rPr>
                <w:rFonts w:ascii="Arial" w:hAnsi="Arial" w:cs="Arial"/>
                <w:color w:val="000000"/>
              </w:rPr>
            </w:pPr>
            <w:r w:rsidRPr="001D2ADB">
              <w:rPr>
                <w:rFonts w:ascii="Arial" w:hAnsi="Arial" w:cs="Arial"/>
                <w:color w:val="000000"/>
              </w:rPr>
              <w:t>Age 6 and older</w:t>
            </w:r>
            <w:r w:rsidRPr="001D2ADB">
              <w:rPr>
                <w:rFonts w:ascii="Arial" w:hAnsi="Arial" w:cs="Arial"/>
                <w:color w:val="000000"/>
              </w:rPr>
              <w:br/>
              <w:t>Heterozygous familial hypercholesterolemia</w:t>
            </w:r>
          </w:p>
        </w:tc>
        <w:tc>
          <w:tcPr>
            <w:tcW w:w="1170" w:type="dxa"/>
          </w:tcPr>
          <w:p w14:paraId="04DFA4CA" w14:textId="77777777" w:rsidR="00502B19" w:rsidRPr="001D2ADB" w:rsidRDefault="00502B19" w:rsidP="001D2ADB">
            <w:pPr>
              <w:spacing w:after="0"/>
              <w:rPr>
                <w:rFonts w:ascii="Arial" w:hAnsi="Arial" w:cs="Arial"/>
                <w:color w:val="000000"/>
              </w:rPr>
            </w:pPr>
            <w:r w:rsidRPr="001D2ADB">
              <w:rPr>
                <w:rFonts w:ascii="Arial" w:hAnsi="Arial" w:cs="Arial"/>
                <w:color w:val="000000"/>
              </w:rPr>
              <w:t>5-20 mg/day</w:t>
            </w:r>
          </w:p>
        </w:tc>
        <w:tc>
          <w:tcPr>
            <w:tcW w:w="2340" w:type="dxa"/>
          </w:tcPr>
          <w:p w14:paraId="12C19627" w14:textId="7B40EDD8" w:rsidR="00502B19" w:rsidRPr="001D2ADB" w:rsidRDefault="00502B19" w:rsidP="001D2ADB">
            <w:pPr>
              <w:spacing w:after="0"/>
              <w:rPr>
                <w:rFonts w:ascii="Arial" w:hAnsi="Arial" w:cs="Arial"/>
                <w:color w:val="000000"/>
              </w:rPr>
            </w:pPr>
            <w:r w:rsidRPr="001D2ADB">
              <w:rPr>
                <w:rFonts w:ascii="Arial" w:hAnsi="Arial" w:cs="Arial"/>
                <w:color w:val="000000"/>
              </w:rPr>
              <w:t xml:space="preserve">May be titrated at ≥ </w:t>
            </w:r>
            <w:r w:rsidR="006A6C95" w:rsidRPr="001D2ADB">
              <w:rPr>
                <w:rFonts w:ascii="Arial" w:hAnsi="Arial" w:cs="Arial"/>
                <w:color w:val="000000"/>
              </w:rPr>
              <w:t>4-week</w:t>
            </w:r>
            <w:r w:rsidRPr="001D2ADB">
              <w:rPr>
                <w:rFonts w:ascii="Arial" w:hAnsi="Arial" w:cs="Arial"/>
                <w:color w:val="000000"/>
              </w:rPr>
              <w:t xml:space="preserve"> intervals</w:t>
            </w:r>
          </w:p>
        </w:tc>
        <w:tc>
          <w:tcPr>
            <w:tcW w:w="1805" w:type="dxa"/>
          </w:tcPr>
          <w:p w14:paraId="27AA158F" w14:textId="2041F998" w:rsidR="00502B19" w:rsidRPr="001D2ADB" w:rsidRDefault="00502B19" w:rsidP="001D2ADB">
            <w:pPr>
              <w:spacing w:after="0"/>
              <w:rPr>
                <w:rFonts w:ascii="Arial" w:hAnsi="Arial" w:cs="Arial"/>
                <w:color w:val="000000"/>
                <w:vertAlign w:val="superscript"/>
              </w:rPr>
            </w:pPr>
            <w:r w:rsidRPr="001D2ADB">
              <w:rPr>
                <w:rFonts w:ascii="Arial" w:hAnsi="Arial" w:cs="Arial"/>
                <w:color w:val="000000"/>
              </w:rPr>
              <w:t>Avis, et al</w:t>
            </w:r>
            <w:r w:rsidR="00E441DA" w:rsidRPr="001D2ADB">
              <w:rPr>
                <w:rFonts w:ascii="Arial" w:hAnsi="Arial" w:cs="Arial"/>
                <w:color w:val="000000"/>
              </w:rPr>
              <w:t xml:space="preserve"> (</w:t>
            </w:r>
            <w:r w:rsidR="00DF60EB" w:rsidRPr="001D2ADB">
              <w:rPr>
                <w:rFonts w:ascii="Arial" w:hAnsi="Arial" w:cs="Arial"/>
                <w:color w:val="000000"/>
              </w:rPr>
              <w:t>30</w:t>
            </w:r>
            <w:r w:rsidR="00E441DA" w:rsidRPr="001D2ADB">
              <w:rPr>
                <w:rFonts w:ascii="Arial" w:hAnsi="Arial" w:cs="Arial"/>
                <w:color w:val="000000"/>
              </w:rPr>
              <w:t>)</w:t>
            </w:r>
          </w:p>
        </w:tc>
      </w:tr>
      <w:tr w:rsidR="00502B19" w:rsidRPr="001D2ADB" w14:paraId="756599EA" w14:textId="77777777" w:rsidTr="005F69B3">
        <w:trPr>
          <w:trHeight w:val="780"/>
        </w:trPr>
        <w:tc>
          <w:tcPr>
            <w:tcW w:w="1445" w:type="dxa"/>
          </w:tcPr>
          <w:p w14:paraId="6C4BB50A"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Simvastatin</w:t>
            </w:r>
          </w:p>
        </w:tc>
        <w:tc>
          <w:tcPr>
            <w:tcW w:w="2070" w:type="dxa"/>
          </w:tcPr>
          <w:p w14:paraId="2F6D2410" w14:textId="77777777" w:rsidR="00502B19" w:rsidRPr="001D2ADB" w:rsidRDefault="00502B19" w:rsidP="001D2ADB">
            <w:pPr>
              <w:spacing w:after="0"/>
              <w:rPr>
                <w:rFonts w:ascii="Arial" w:hAnsi="Arial" w:cs="Arial"/>
                <w:color w:val="000000"/>
              </w:rPr>
            </w:pPr>
            <w:r w:rsidRPr="001D2ADB">
              <w:rPr>
                <w:rFonts w:ascii="Arial" w:hAnsi="Arial" w:cs="Arial"/>
                <w:color w:val="000000"/>
              </w:rPr>
              <w:t>Age 10-17</w:t>
            </w:r>
            <w:r w:rsidRPr="001D2ADB">
              <w:rPr>
                <w:rFonts w:ascii="Arial" w:hAnsi="Arial" w:cs="Arial"/>
                <w:color w:val="000000"/>
              </w:rPr>
              <w:br/>
              <w:t>Heterozygous familial hypercholesterolemia</w:t>
            </w:r>
          </w:p>
        </w:tc>
        <w:tc>
          <w:tcPr>
            <w:tcW w:w="1170" w:type="dxa"/>
          </w:tcPr>
          <w:p w14:paraId="090D5527" w14:textId="77777777" w:rsidR="00502B19" w:rsidRPr="001D2ADB" w:rsidRDefault="00502B19" w:rsidP="001D2ADB">
            <w:pPr>
              <w:spacing w:after="0"/>
              <w:rPr>
                <w:rFonts w:ascii="Arial" w:hAnsi="Arial" w:cs="Arial"/>
                <w:color w:val="000000"/>
              </w:rPr>
            </w:pPr>
            <w:r w:rsidRPr="001D2ADB">
              <w:rPr>
                <w:rFonts w:ascii="Arial" w:hAnsi="Arial" w:cs="Arial"/>
                <w:color w:val="000000"/>
              </w:rPr>
              <w:t>10-40 mg/day</w:t>
            </w:r>
          </w:p>
        </w:tc>
        <w:tc>
          <w:tcPr>
            <w:tcW w:w="2340" w:type="dxa"/>
          </w:tcPr>
          <w:p w14:paraId="5F887CC0" w14:textId="3CD10718" w:rsidR="00502B19" w:rsidRPr="001D2ADB" w:rsidRDefault="00502B19" w:rsidP="001D2ADB">
            <w:pPr>
              <w:spacing w:after="0"/>
              <w:rPr>
                <w:rFonts w:ascii="Arial" w:hAnsi="Arial" w:cs="Arial"/>
                <w:color w:val="000000"/>
              </w:rPr>
            </w:pPr>
            <w:r w:rsidRPr="001D2ADB">
              <w:rPr>
                <w:rFonts w:ascii="Arial" w:hAnsi="Arial" w:cs="Arial"/>
                <w:color w:val="000000"/>
              </w:rPr>
              <w:t xml:space="preserve">May be titrated at ≥ </w:t>
            </w:r>
            <w:r w:rsidR="006A6C95" w:rsidRPr="001D2ADB">
              <w:rPr>
                <w:rFonts w:ascii="Arial" w:hAnsi="Arial" w:cs="Arial"/>
                <w:color w:val="000000"/>
              </w:rPr>
              <w:t>4-week</w:t>
            </w:r>
            <w:r w:rsidRPr="001D2ADB">
              <w:rPr>
                <w:rFonts w:ascii="Arial" w:hAnsi="Arial" w:cs="Arial"/>
                <w:color w:val="000000"/>
              </w:rPr>
              <w:t xml:space="preserve"> intervals</w:t>
            </w:r>
          </w:p>
        </w:tc>
        <w:tc>
          <w:tcPr>
            <w:tcW w:w="1805" w:type="dxa"/>
          </w:tcPr>
          <w:p w14:paraId="1226CBD0" w14:textId="29E30DC6" w:rsidR="00502B19" w:rsidRPr="001D2ADB" w:rsidRDefault="00502B19" w:rsidP="001D2ADB">
            <w:pPr>
              <w:spacing w:after="0"/>
              <w:rPr>
                <w:rFonts w:ascii="Arial" w:hAnsi="Arial" w:cs="Arial"/>
                <w:color w:val="000000"/>
                <w:vertAlign w:val="superscript"/>
              </w:rPr>
            </w:pPr>
            <w:r w:rsidRPr="001D2ADB">
              <w:rPr>
                <w:rFonts w:ascii="Arial" w:hAnsi="Arial" w:cs="Arial"/>
                <w:color w:val="000000"/>
              </w:rPr>
              <w:t>de Jongh, et al</w:t>
            </w:r>
            <w:r w:rsidR="00DF60EB" w:rsidRPr="001D2ADB">
              <w:rPr>
                <w:rFonts w:ascii="Arial" w:hAnsi="Arial" w:cs="Arial"/>
                <w:color w:val="000000"/>
              </w:rPr>
              <w:t xml:space="preserve"> (31</w:t>
            </w:r>
            <w:r w:rsidR="00E441DA" w:rsidRPr="001D2ADB">
              <w:rPr>
                <w:rFonts w:ascii="Arial" w:hAnsi="Arial" w:cs="Arial"/>
                <w:color w:val="000000"/>
              </w:rPr>
              <w:t>)</w:t>
            </w:r>
            <w:r w:rsidRPr="001D2ADB">
              <w:rPr>
                <w:rFonts w:ascii="Arial" w:hAnsi="Arial" w:cs="Arial"/>
                <w:color w:val="000000"/>
              </w:rPr>
              <w:br/>
              <w:t>de Jongh, et al</w:t>
            </w:r>
            <w:r w:rsidR="00DF60EB" w:rsidRPr="001D2ADB">
              <w:rPr>
                <w:rFonts w:ascii="Arial" w:hAnsi="Arial" w:cs="Arial"/>
                <w:color w:val="000000"/>
              </w:rPr>
              <w:t xml:space="preserve"> (32</w:t>
            </w:r>
            <w:r w:rsidR="00E441DA" w:rsidRPr="001D2ADB">
              <w:rPr>
                <w:rFonts w:ascii="Arial" w:hAnsi="Arial" w:cs="Arial"/>
                <w:color w:val="000000"/>
              </w:rPr>
              <w:t>)</w:t>
            </w:r>
          </w:p>
        </w:tc>
      </w:tr>
      <w:tr w:rsidR="00502B19" w:rsidRPr="001D2ADB" w14:paraId="3811F9E1" w14:textId="77777777" w:rsidTr="005F69B3">
        <w:trPr>
          <w:trHeight w:val="780"/>
        </w:trPr>
        <w:tc>
          <w:tcPr>
            <w:tcW w:w="1445" w:type="dxa"/>
          </w:tcPr>
          <w:p w14:paraId="55CE9E6B" w14:textId="77777777" w:rsidR="00502B19" w:rsidRPr="001D2ADB" w:rsidRDefault="00502B19" w:rsidP="001D2ADB">
            <w:pPr>
              <w:spacing w:after="0"/>
              <w:rPr>
                <w:rFonts w:ascii="Arial" w:hAnsi="Arial" w:cs="Arial"/>
                <w:b/>
                <w:bCs/>
                <w:color w:val="000000"/>
              </w:rPr>
            </w:pPr>
            <w:r w:rsidRPr="001D2ADB">
              <w:rPr>
                <w:rFonts w:ascii="Arial" w:hAnsi="Arial" w:cs="Arial"/>
                <w:b/>
                <w:bCs/>
                <w:color w:val="000000"/>
              </w:rPr>
              <w:t>Pitavastatin</w:t>
            </w:r>
          </w:p>
        </w:tc>
        <w:tc>
          <w:tcPr>
            <w:tcW w:w="2070" w:type="dxa"/>
          </w:tcPr>
          <w:p w14:paraId="72A044D0" w14:textId="77777777" w:rsidR="00502B19" w:rsidRPr="001D2ADB" w:rsidRDefault="00502B19" w:rsidP="001D2ADB">
            <w:pPr>
              <w:spacing w:after="0"/>
              <w:rPr>
                <w:rFonts w:ascii="Arial" w:hAnsi="Arial" w:cs="Arial"/>
                <w:color w:val="000000"/>
              </w:rPr>
            </w:pPr>
            <w:r w:rsidRPr="001D2ADB">
              <w:rPr>
                <w:rFonts w:ascii="Arial" w:hAnsi="Arial" w:cs="Arial"/>
                <w:color w:val="000000"/>
              </w:rPr>
              <w:t>Age 8 and older</w:t>
            </w:r>
            <w:r w:rsidRPr="001D2ADB">
              <w:rPr>
                <w:rFonts w:ascii="Arial" w:hAnsi="Arial" w:cs="Arial"/>
                <w:color w:val="000000"/>
              </w:rPr>
              <w:br/>
              <w:t>Heterozygous familial hypercholesterolemia</w:t>
            </w:r>
          </w:p>
        </w:tc>
        <w:tc>
          <w:tcPr>
            <w:tcW w:w="1170" w:type="dxa"/>
          </w:tcPr>
          <w:p w14:paraId="097CC685" w14:textId="77777777" w:rsidR="00502B19" w:rsidRPr="001D2ADB" w:rsidRDefault="00502B19" w:rsidP="001D2ADB">
            <w:pPr>
              <w:spacing w:after="0"/>
              <w:rPr>
                <w:rFonts w:ascii="Arial" w:hAnsi="Arial" w:cs="Arial"/>
                <w:color w:val="000000"/>
              </w:rPr>
            </w:pPr>
            <w:r w:rsidRPr="001D2ADB">
              <w:rPr>
                <w:rFonts w:ascii="Arial" w:hAnsi="Arial" w:cs="Arial"/>
                <w:color w:val="000000"/>
              </w:rPr>
              <w:t>1-4 mg/day</w:t>
            </w:r>
          </w:p>
        </w:tc>
        <w:tc>
          <w:tcPr>
            <w:tcW w:w="2340" w:type="dxa"/>
          </w:tcPr>
          <w:p w14:paraId="12D87F9C" w14:textId="2B17D6B8" w:rsidR="00502B19" w:rsidRPr="001D2ADB" w:rsidRDefault="00502B19" w:rsidP="001D2ADB">
            <w:pPr>
              <w:spacing w:after="0"/>
              <w:rPr>
                <w:rFonts w:ascii="Arial" w:hAnsi="Arial" w:cs="Arial"/>
                <w:color w:val="000000"/>
              </w:rPr>
            </w:pPr>
            <w:r w:rsidRPr="001D2ADB">
              <w:rPr>
                <w:rFonts w:ascii="Arial" w:hAnsi="Arial" w:cs="Arial"/>
                <w:color w:val="000000"/>
              </w:rPr>
              <w:t xml:space="preserve">May be titrated at ≥ </w:t>
            </w:r>
            <w:r w:rsidR="006A6C95" w:rsidRPr="001D2ADB">
              <w:rPr>
                <w:rFonts w:ascii="Arial" w:hAnsi="Arial" w:cs="Arial"/>
                <w:color w:val="000000"/>
              </w:rPr>
              <w:t>4-week</w:t>
            </w:r>
            <w:r w:rsidRPr="001D2ADB">
              <w:rPr>
                <w:rFonts w:ascii="Arial" w:hAnsi="Arial" w:cs="Arial"/>
                <w:color w:val="000000"/>
              </w:rPr>
              <w:t xml:space="preserve"> intervals</w:t>
            </w:r>
          </w:p>
        </w:tc>
        <w:tc>
          <w:tcPr>
            <w:tcW w:w="1805" w:type="dxa"/>
          </w:tcPr>
          <w:p w14:paraId="16A44C5B" w14:textId="7C6F2CCD" w:rsidR="00502B19" w:rsidRPr="001D2ADB" w:rsidRDefault="00502B19" w:rsidP="001D2ADB">
            <w:pPr>
              <w:spacing w:after="0"/>
              <w:rPr>
                <w:rFonts w:ascii="Arial" w:hAnsi="Arial" w:cs="Arial"/>
                <w:color w:val="000000"/>
                <w:vertAlign w:val="superscript"/>
              </w:rPr>
            </w:pPr>
            <w:r w:rsidRPr="001D2ADB">
              <w:rPr>
                <w:rFonts w:ascii="Arial" w:hAnsi="Arial" w:cs="Arial"/>
                <w:color w:val="000000"/>
              </w:rPr>
              <w:t xml:space="preserve">Ferrari, et al </w:t>
            </w:r>
            <w:r w:rsidR="00DF60EB" w:rsidRPr="001D2ADB">
              <w:rPr>
                <w:rFonts w:ascii="Arial" w:hAnsi="Arial" w:cs="Arial"/>
                <w:color w:val="000000"/>
              </w:rPr>
              <w:t>(20</w:t>
            </w:r>
            <w:r w:rsidR="00E441DA" w:rsidRPr="001D2ADB">
              <w:rPr>
                <w:rFonts w:ascii="Arial" w:hAnsi="Arial" w:cs="Arial"/>
                <w:color w:val="000000"/>
              </w:rPr>
              <w:t>)</w:t>
            </w:r>
          </w:p>
        </w:tc>
      </w:tr>
    </w:tbl>
    <w:p w14:paraId="24ABF6C5" w14:textId="5F1462BB" w:rsidR="00502B19" w:rsidRPr="001D2ADB" w:rsidRDefault="00502B19" w:rsidP="001D2ADB">
      <w:pPr>
        <w:spacing w:after="0"/>
        <w:rPr>
          <w:rFonts w:ascii="Arial" w:hAnsi="Arial" w:cs="Arial"/>
        </w:rPr>
      </w:pPr>
      <w:r w:rsidRPr="001D2ADB">
        <w:rPr>
          <w:rFonts w:ascii="Arial" w:hAnsi="Arial" w:cs="Arial"/>
        </w:rPr>
        <w:t xml:space="preserve">The above are approved as an adjunct to a diet that is low in cholesterol and saturated fat.  The above agents are approved for both males and females (females must be at least </w:t>
      </w:r>
      <w:r w:rsidR="006A6C95" w:rsidRPr="001D2ADB">
        <w:rPr>
          <w:rFonts w:ascii="Arial" w:hAnsi="Arial" w:cs="Arial"/>
        </w:rPr>
        <w:t>one-year</w:t>
      </w:r>
      <w:r w:rsidRPr="001D2ADB">
        <w:rPr>
          <w:rFonts w:ascii="Arial" w:hAnsi="Arial" w:cs="Arial"/>
        </w:rPr>
        <w:t xml:space="preserve"> post-menarche) if, despite an adequate diet and other non-pharmacologic measures, the following are present: LDL-C ≥ 190 mg/dL or LDL-C ≥ 160 mg/dL and the patient has a family history of premature cardiovascular disease or two or more cardiovascular disease risk factors</w:t>
      </w:r>
      <w:r w:rsidR="00C2798A">
        <w:rPr>
          <w:rFonts w:ascii="Arial" w:hAnsi="Arial" w:cs="Arial"/>
        </w:rPr>
        <w:t>.</w:t>
      </w:r>
      <w:r w:rsidRPr="001D2ADB">
        <w:rPr>
          <w:rFonts w:ascii="Arial" w:hAnsi="Arial" w:cs="Arial"/>
        </w:rPr>
        <w:br/>
        <w:t>Abbreviations: mg=milligrams, LDL=low density lipoprotein</w:t>
      </w:r>
    </w:p>
    <w:p w14:paraId="286587AD" w14:textId="0BA779D9" w:rsidR="00F2226E" w:rsidRPr="001D2ADB" w:rsidRDefault="00F2226E" w:rsidP="001D2ADB">
      <w:pPr>
        <w:spacing w:after="0"/>
        <w:rPr>
          <w:rFonts w:ascii="Arial" w:hAnsi="Arial" w:cs="Arial"/>
        </w:rPr>
      </w:pPr>
      <w:r w:rsidRPr="001D2ADB">
        <w:rPr>
          <w:rFonts w:ascii="Arial" w:hAnsi="Arial" w:cs="Arial"/>
        </w:rPr>
        <w:t xml:space="preserve"> </w:t>
      </w:r>
    </w:p>
    <w:p w14:paraId="5A12C0FA" w14:textId="7B2B08E8" w:rsidR="008A6124" w:rsidRPr="001D2ADB" w:rsidRDefault="00F2226E" w:rsidP="001D2ADB">
      <w:pPr>
        <w:spacing w:after="0"/>
        <w:rPr>
          <w:rFonts w:ascii="Arial" w:hAnsi="Arial" w:cs="Arial"/>
        </w:rPr>
      </w:pPr>
      <w:r w:rsidRPr="001D2ADB">
        <w:rPr>
          <w:rFonts w:ascii="Arial" w:hAnsi="Arial" w:cs="Arial"/>
        </w:rPr>
        <w:t xml:space="preserve">As Table 4 outlines, statin therapies </w:t>
      </w:r>
      <w:r w:rsidR="00245556" w:rsidRPr="001D2ADB">
        <w:rPr>
          <w:rFonts w:ascii="Arial" w:hAnsi="Arial" w:cs="Arial"/>
        </w:rPr>
        <w:t xml:space="preserve">have </w:t>
      </w:r>
      <w:r w:rsidRPr="001D2ADB">
        <w:rPr>
          <w:rFonts w:ascii="Arial" w:hAnsi="Arial" w:cs="Arial"/>
        </w:rPr>
        <w:t xml:space="preserve">demonstrated variable efficacy </w:t>
      </w:r>
      <w:r w:rsidR="00245556" w:rsidRPr="001D2ADB">
        <w:rPr>
          <w:rFonts w:ascii="Arial" w:hAnsi="Arial" w:cs="Arial"/>
        </w:rPr>
        <w:t>involving</w:t>
      </w:r>
      <w:r w:rsidRPr="001D2ADB">
        <w:rPr>
          <w:rFonts w:ascii="Arial" w:hAnsi="Arial" w:cs="Arial"/>
        </w:rPr>
        <w:t xml:space="preserve"> clinical trials </w:t>
      </w:r>
      <w:r w:rsidR="00524C0F" w:rsidRPr="001D2ADB">
        <w:rPr>
          <w:rFonts w:ascii="Arial" w:hAnsi="Arial" w:cs="Arial"/>
        </w:rPr>
        <w:t>of youth</w:t>
      </w:r>
      <w:r w:rsidR="00DF60EB" w:rsidRPr="001D2ADB">
        <w:rPr>
          <w:rFonts w:ascii="Arial" w:hAnsi="Arial" w:cs="Arial"/>
        </w:rPr>
        <w:t xml:space="preserve"> (21</w:t>
      </w:r>
      <w:r w:rsidR="00E441DA" w:rsidRPr="001D2ADB">
        <w:rPr>
          <w:rFonts w:ascii="Arial" w:hAnsi="Arial" w:cs="Arial"/>
        </w:rPr>
        <w:t>-</w:t>
      </w:r>
      <w:r w:rsidR="00DF60EB" w:rsidRPr="001D2ADB">
        <w:rPr>
          <w:rFonts w:ascii="Arial" w:hAnsi="Arial" w:cs="Arial"/>
        </w:rPr>
        <w:t>32</w:t>
      </w:r>
      <w:r w:rsidR="00E441DA" w:rsidRPr="001D2ADB">
        <w:rPr>
          <w:rFonts w:ascii="Arial" w:hAnsi="Arial" w:cs="Arial"/>
        </w:rPr>
        <w:t>)</w:t>
      </w:r>
      <w:r w:rsidRPr="001D2ADB">
        <w:rPr>
          <w:rFonts w:ascii="Arial" w:hAnsi="Arial" w:cs="Arial"/>
        </w:rPr>
        <w:t>.</w:t>
      </w:r>
      <w:r w:rsidR="00524C0F" w:rsidRPr="001D2ADB">
        <w:rPr>
          <w:rFonts w:ascii="Arial" w:hAnsi="Arial" w:cs="Arial"/>
        </w:rPr>
        <w:t xml:space="preserve"> With</w:t>
      </w:r>
      <w:r w:rsidR="00510F08" w:rsidRPr="001D2ADB">
        <w:rPr>
          <w:rFonts w:ascii="Arial" w:hAnsi="Arial" w:cs="Arial"/>
        </w:rPr>
        <w:t xml:space="preserve"> the longest </w:t>
      </w:r>
      <w:r w:rsidR="00F57507" w:rsidRPr="001D2ADB">
        <w:rPr>
          <w:rFonts w:ascii="Arial" w:hAnsi="Arial" w:cs="Arial"/>
        </w:rPr>
        <w:t>half-life, rosuvas</w:t>
      </w:r>
      <w:r w:rsidR="00510F08" w:rsidRPr="001D2ADB">
        <w:rPr>
          <w:rFonts w:ascii="Arial" w:hAnsi="Arial" w:cs="Arial"/>
        </w:rPr>
        <w:t xml:space="preserve">tatin is the most potent </w:t>
      </w:r>
      <w:r w:rsidR="00245556" w:rsidRPr="001D2ADB">
        <w:rPr>
          <w:rFonts w:ascii="Arial" w:hAnsi="Arial" w:cs="Arial"/>
        </w:rPr>
        <w:t>statin</w:t>
      </w:r>
      <w:r w:rsidR="00510F08" w:rsidRPr="001D2ADB">
        <w:rPr>
          <w:rFonts w:ascii="Arial" w:hAnsi="Arial" w:cs="Arial"/>
        </w:rPr>
        <w:t>,</w:t>
      </w:r>
      <w:r w:rsidR="00F57507" w:rsidRPr="001D2ADB">
        <w:rPr>
          <w:rFonts w:ascii="Arial" w:hAnsi="Arial" w:cs="Arial"/>
        </w:rPr>
        <w:t xml:space="preserve"> followed by atorvastatin</w:t>
      </w:r>
      <w:r w:rsidR="00DF60EB" w:rsidRPr="001D2ADB">
        <w:rPr>
          <w:rFonts w:ascii="Arial" w:hAnsi="Arial" w:cs="Arial"/>
        </w:rPr>
        <w:t xml:space="preserve"> (33</w:t>
      </w:r>
      <w:r w:rsidR="00E441DA" w:rsidRPr="001D2ADB">
        <w:rPr>
          <w:rFonts w:ascii="Arial" w:hAnsi="Arial" w:cs="Arial"/>
        </w:rPr>
        <w:t>)</w:t>
      </w:r>
      <w:r w:rsidR="00F57507" w:rsidRPr="001D2ADB">
        <w:rPr>
          <w:rFonts w:ascii="Arial" w:hAnsi="Arial" w:cs="Arial"/>
        </w:rPr>
        <w:t>.</w:t>
      </w:r>
      <w:r w:rsidR="006A6C95" w:rsidRPr="001D2ADB">
        <w:rPr>
          <w:rFonts w:ascii="Arial" w:hAnsi="Arial" w:cs="Arial"/>
        </w:rPr>
        <w:t xml:space="preserve"> Given</w:t>
      </w:r>
      <w:r w:rsidR="00524C0F" w:rsidRPr="001D2ADB">
        <w:rPr>
          <w:rFonts w:ascii="Arial" w:hAnsi="Arial" w:cs="Arial"/>
        </w:rPr>
        <w:t xml:space="preserve"> this knowledge, if pediatric patients who are initiated on statin therapy are having trouble meeting LDL-C goals, consideration should be given to switching to rosuvastatin or atorvastatin given potency prior to exploring second-line therapy options. </w:t>
      </w:r>
      <w:r w:rsidR="00F57507" w:rsidRPr="001D2ADB">
        <w:rPr>
          <w:rFonts w:ascii="Arial" w:hAnsi="Arial" w:cs="Arial"/>
        </w:rPr>
        <w:t>Simvastatin is a moderately potent statin at clinically tolerable maximum doses of 40 mg/day</w:t>
      </w:r>
      <w:r w:rsidR="00D94C68" w:rsidRPr="001D2ADB">
        <w:rPr>
          <w:rFonts w:ascii="Arial" w:hAnsi="Arial" w:cs="Arial"/>
        </w:rPr>
        <w:t xml:space="preserve"> (3</w:t>
      </w:r>
      <w:r w:rsidR="00DF60EB" w:rsidRPr="001D2ADB">
        <w:rPr>
          <w:rFonts w:ascii="Arial" w:hAnsi="Arial" w:cs="Arial"/>
        </w:rPr>
        <w:t>3</w:t>
      </w:r>
      <w:r w:rsidR="00D94C68" w:rsidRPr="001D2ADB">
        <w:rPr>
          <w:rFonts w:ascii="Arial" w:hAnsi="Arial" w:cs="Arial"/>
        </w:rPr>
        <w:t>-3</w:t>
      </w:r>
      <w:r w:rsidR="00DF60EB" w:rsidRPr="001D2ADB">
        <w:rPr>
          <w:rFonts w:ascii="Arial" w:hAnsi="Arial" w:cs="Arial"/>
        </w:rPr>
        <w:t>5</w:t>
      </w:r>
      <w:r w:rsidR="00D94C68" w:rsidRPr="001D2ADB">
        <w:rPr>
          <w:rFonts w:ascii="Arial" w:hAnsi="Arial" w:cs="Arial"/>
        </w:rPr>
        <w:t>)</w:t>
      </w:r>
      <w:r w:rsidR="00F57507" w:rsidRPr="001D2ADB">
        <w:rPr>
          <w:rFonts w:ascii="Arial" w:hAnsi="Arial" w:cs="Arial"/>
        </w:rPr>
        <w:t>. Lovastatin, pravastatin, and fluvastatin</w:t>
      </w:r>
      <w:r w:rsidR="00510F08" w:rsidRPr="001D2ADB">
        <w:rPr>
          <w:rFonts w:ascii="Arial" w:hAnsi="Arial" w:cs="Arial"/>
        </w:rPr>
        <w:t>,</w:t>
      </w:r>
      <w:r w:rsidR="00F57507" w:rsidRPr="001D2ADB">
        <w:rPr>
          <w:rFonts w:ascii="Arial" w:hAnsi="Arial" w:cs="Arial"/>
        </w:rPr>
        <w:t xml:space="preserve"> respectively</w:t>
      </w:r>
      <w:r w:rsidR="00510F08" w:rsidRPr="001D2ADB">
        <w:rPr>
          <w:rFonts w:ascii="Arial" w:hAnsi="Arial" w:cs="Arial"/>
        </w:rPr>
        <w:t>,</w:t>
      </w:r>
      <w:r w:rsidR="00F57507" w:rsidRPr="001D2ADB">
        <w:rPr>
          <w:rFonts w:ascii="Arial" w:hAnsi="Arial" w:cs="Arial"/>
        </w:rPr>
        <w:t xml:space="preserve"> </w:t>
      </w:r>
      <w:r w:rsidR="00510F08" w:rsidRPr="001D2ADB">
        <w:rPr>
          <w:rFonts w:ascii="Arial" w:hAnsi="Arial" w:cs="Arial"/>
        </w:rPr>
        <w:t xml:space="preserve">are </w:t>
      </w:r>
      <w:r w:rsidR="00F57507" w:rsidRPr="001D2ADB">
        <w:rPr>
          <w:rFonts w:ascii="Arial" w:hAnsi="Arial" w:cs="Arial"/>
        </w:rPr>
        <w:t>the least potent statins</w:t>
      </w:r>
      <w:r w:rsidR="00D94C68" w:rsidRPr="001D2ADB">
        <w:rPr>
          <w:rFonts w:ascii="Arial" w:hAnsi="Arial" w:cs="Arial"/>
        </w:rPr>
        <w:t xml:space="preserve"> (3</w:t>
      </w:r>
      <w:r w:rsidR="00DF60EB" w:rsidRPr="001D2ADB">
        <w:rPr>
          <w:rFonts w:ascii="Arial" w:hAnsi="Arial" w:cs="Arial"/>
        </w:rPr>
        <w:t>4</w:t>
      </w:r>
      <w:r w:rsidR="00D94C68" w:rsidRPr="001D2ADB">
        <w:rPr>
          <w:rFonts w:ascii="Arial" w:hAnsi="Arial" w:cs="Arial"/>
        </w:rPr>
        <w:t>, 3</w:t>
      </w:r>
      <w:r w:rsidR="00DF60EB" w:rsidRPr="001D2ADB">
        <w:rPr>
          <w:rFonts w:ascii="Arial" w:hAnsi="Arial" w:cs="Arial"/>
        </w:rPr>
        <w:t>5</w:t>
      </w:r>
      <w:r w:rsidR="00D94C68" w:rsidRPr="001D2ADB">
        <w:rPr>
          <w:rFonts w:ascii="Arial" w:hAnsi="Arial" w:cs="Arial"/>
        </w:rPr>
        <w:t>)</w:t>
      </w:r>
      <w:r w:rsidR="00F57507" w:rsidRPr="001D2ADB">
        <w:rPr>
          <w:rFonts w:ascii="Arial" w:hAnsi="Arial" w:cs="Arial"/>
        </w:rPr>
        <w:t>. As many studies have demonstrated, reduc</w:t>
      </w:r>
      <w:r w:rsidR="00510F08" w:rsidRPr="001D2ADB">
        <w:rPr>
          <w:rFonts w:ascii="Arial" w:hAnsi="Arial" w:cs="Arial"/>
        </w:rPr>
        <w:t xml:space="preserve">ed potency can be compensated </w:t>
      </w:r>
      <w:r w:rsidR="00245556" w:rsidRPr="001D2ADB">
        <w:rPr>
          <w:rFonts w:ascii="Arial" w:hAnsi="Arial" w:cs="Arial"/>
        </w:rPr>
        <w:t>by an</w:t>
      </w:r>
      <w:r w:rsidR="00510F08" w:rsidRPr="001D2ADB">
        <w:rPr>
          <w:rFonts w:ascii="Arial" w:hAnsi="Arial" w:cs="Arial"/>
        </w:rPr>
        <w:t xml:space="preserve"> </w:t>
      </w:r>
      <w:r w:rsidR="00F57507" w:rsidRPr="001D2ADB">
        <w:rPr>
          <w:rFonts w:ascii="Arial" w:hAnsi="Arial" w:cs="Arial"/>
        </w:rPr>
        <w:t>increas</w:t>
      </w:r>
      <w:r w:rsidR="00510F08" w:rsidRPr="001D2ADB">
        <w:rPr>
          <w:rFonts w:ascii="Arial" w:hAnsi="Arial" w:cs="Arial"/>
        </w:rPr>
        <w:t>e in the amount of statin given</w:t>
      </w:r>
      <w:r w:rsidR="00F57507" w:rsidRPr="001D2ADB">
        <w:rPr>
          <w:rFonts w:ascii="Arial" w:hAnsi="Arial" w:cs="Arial"/>
        </w:rPr>
        <w:t xml:space="preserve">; however, </w:t>
      </w:r>
      <w:r w:rsidR="00510F08" w:rsidRPr="001D2ADB">
        <w:rPr>
          <w:rFonts w:ascii="Arial" w:hAnsi="Arial" w:cs="Arial"/>
        </w:rPr>
        <w:t xml:space="preserve">dose escalation is </w:t>
      </w:r>
      <w:r w:rsidR="00F57507" w:rsidRPr="001D2ADB">
        <w:rPr>
          <w:rFonts w:ascii="Arial" w:hAnsi="Arial" w:cs="Arial"/>
        </w:rPr>
        <w:t xml:space="preserve">often associated with </w:t>
      </w:r>
      <w:r w:rsidR="00510F08" w:rsidRPr="001D2ADB">
        <w:rPr>
          <w:rFonts w:ascii="Arial" w:hAnsi="Arial" w:cs="Arial"/>
        </w:rPr>
        <w:t xml:space="preserve">an </w:t>
      </w:r>
      <w:r w:rsidR="00F57507" w:rsidRPr="001D2ADB">
        <w:rPr>
          <w:rFonts w:ascii="Arial" w:hAnsi="Arial" w:cs="Arial"/>
        </w:rPr>
        <w:t xml:space="preserve">increased </w:t>
      </w:r>
      <w:r w:rsidR="00510F08" w:rsidRPr="001D2ADB">
        <w:rPr>
          <w:rFonts w:ascii="Arial" w:hAnsi="Arial" w:cs="Arial"/>
        </w:rPr>
        <w:t xml:space="preserve">occurrence of </w:t>
      </w:r>
      <w:r w:rsidR="00F57507" w:rsidRPr="001D2ADB">
        <w:rPr>
          <w:rFonts w:ascii="Arial" w:hAnsi="Arial" w:cs="Arial"/>
        </w:rPr>
        <w:t>adverse events</w:t>
      </w:r>
      <w:r w:rsidR="00DF60EB" w:rsidRPr="001D2ADB">
        <w:rPr>
          <w:rFonts w:ascii="Arial" w:hAnsi="Arial" w:cs="Arial"/>
        </w:rPr>
        <w:t xml:space="preserve"> (21</w:t>
      </w:r>
      <w:r w:rsidR="00D94C68" w:rsidRPr="001D2ADB">
        <w:rPr>
          <w:rFonts w:ascii="Arial" w:hAnsi="Arial" w:cs="Arial"/>
        </w:rPr>
        <w:t>-3</w:t>
      </w:r>
      <w:r w:rsidR="00DF60EB" w:rsidRPr="001D2ADB">
        <w:rPr>
          <w:rFonts w:ascii="Arial" w:hAnsi="Arial" w:cs="Arial"/>
        </w:rPr>
        <w:t>5</w:t>
      </w:r>
      <w:r w:rsidR="00D94C68" w:rsidRPr="001D2ADB">
        <w:rPr>
          <w:rFonts w:ascii="Arial" w:hAnsi="Arial" w:cs="Arial"/>
        </w:rPr>
        <w:t>)</w:t>
      </w:r>
      <w:r w:rsidR="00F57507" w:rsidRPr="001D2ADB">
        <w:rPr>
          <w:rFonts w:ascii="Arial" w:hAnsi="Arial" w:cs="Arial"/>
        </w:rPr>
        <w:t xml:space="preserve">. </w:t>
      </w:r>
      <w:r w:rsidRPr="001D2ADB">
        <w:rPr>
          <w:rFonts w:ascii="Arial" w:hAnsi="Arial" w:cs="Arial"/>
        </w:rPr>
        <w:t xml:space="preserve">As a result, selection of </w:t>
      </w:r>
      <w:r w:rsidR="003A4062" w:rsidRPr="001D2ADB">
        <w:rPr>
          <w:rFonts w:ascii="Arial" w:hAnsi="Arial" w:cs="Arial"/>
        </w:rPr>
        <w:t xml:space="preserve">a </w:t>
      </w:r>
      <w:r w:rsidRPr="001D2ADB">
        <w:rPr>
          <w:rFonts w:ascii="Arial" w:hAnsi="Arial" w:cs="Arial"/>
        </w:rPr>
        <w:t xml:space="preserve">specific </w:t>
      </w:r>
      <w:r w:rsidR="003A4062" w:rsidRPr="001D2ADB">
        <w:rPr>
          <w:rFonts w:ascii="Arial" w:hAnsi="Arial" w:cs="Arial"/>
        </w:rPr>
        <w:t xml:space="preserve">statin therapy should be </w:t>
      </w:r>
      <w:r w:rsidR="00510F08" w:rsidRPr="001D2ADB">
        <w:rPr>
          <w:rFonts w:ascii="Arial" w:hAnsi="Arial" w:cs="Arial"/>
        </w:rPr>
        <w:t>individualized and capable of reach</w:t>
      </w:r>
      <w:r w:rsidR="008A6124" w:rsidRPr="001D2ADB">
        <w:rPr>
          <w:rFonts w:ascii="Arial" w:hAnsi="Arial" w:cs="Arial"/>
        </w:rPr>
        <w:t>ing</w:t>
      </w:r>
      <w:r w:rsidR="00510F08" w:rsidRPr="001D2ADB">
        <w:rPr>
          <w:rFonts w:ascii="Arial" w:hAnsi="Arial" w:cs="Arial"/>
        </w:rPr>
        <w:t xml:space="preserve"> </w:t>
      </w:r>
      <w:r w:rsidRPr="001D2ADB">
        <w:rPr>
          <w:rFonts w:ascii="Arial" w:hAnsi="Arial" w:cs="Arial"/>
        </w:rPr>
        <w:t xml:space="preserve">treatment goals. </w:t>
      </w:r>
      <w:r w:rsidR="00245556" w:rsidRPr="001D2ADB">
        <w:rPr>
          <w:rFonts w:ascii="Arial" w:hAnsi="Arial" w:cs="Arial"/>
        </w:rPr>
        <w:t>E</w:t>
      </w:r>
      <w:r w:rsidR="00CD166B" w:rsidRPr="001D2ADB">
        <w:rPr>
          <w:rFonts w:ascii="Arial" w:hAnsi="Arial" w:cs="Arial"/>
        </w:rPr>
        <w:t>qually important</w:t>
      </w:r>
      <w:r w:rsidR="00245556" w:rsidRPr="001D2ADB">
        <w:rPr>
          <w:rFonts w:ascii="Arial" w:hAnsi="Arial" w:cs="Arial"/>
        </w:rPr>
        <w:t>, consideration should be given to</w:t>
      </w:r>
      <w:r w:rsidR="008A6124" w:rsidRPr="001D2ADB">
        <w:rPr>
          <w:rFonts w:ascii="Arial" w:hAnsi="Arial" w:cs="Arial"/>
        </w:rPr>
        <w:t xml:space="preserve"> the </w:t>
      </w:r>
      <w:r w:rsidR="00CD166B" w:rsidRPr="001D2ADB">
        <w:rPr>
          <w:rFonts w:ascii="Arial" w:hAnsi="Arial" w:cs="Arial"/>
        </w:rPr>
        <w:t xml:space="preserve">prevalence </w:t>
      </w:r>
      <w:r w:rsidR="008A6124" w:rsidRPr="001D2ADB">
        <w:rPr>
          <w:rFonts w:ascii="Arial" w:hAnsi="Arial" w:cs="Arial"/>
        </w:rPr>
        <w:t xml:space="preserve">and severity </w:t>
      </w:r>
      <w:r w:rsidR="008C56AB" w:rsidRPr="001D2ADB">
        <w:rPr>
          <w:rFonts w:ascii="Arial" w:hAnsi="Arial" w:cs="Arial"/>
        </w:rPr>
        <w:t>of reported</w:t>
      </w:r>
      <w:r w:rsidR="00245556" w:rsidRPr="001D2ADB">
        <w:rPr>
          <w:rFonts w:ascii="Arial" w:hAnsi="Arial" w:cs="Arial"/>
        </w:rPr>
        <w:t xml:space="preserve"> </w:t>
      </w:r>
      <w:r w:rsidR="008A6124" w:rsidRPr="001D2ADB">
        <w:rPr>
          <w:rFonts w:ascii="Arial" w:hAnsi="Arial" w:cs="Arial"/>
        </w:rPr>
        <w:t>side effects</w:t>
      </w:r>
      <w:r w:rsidR="006B037C" w:rsidRPr="001D2ADB">
        <w:rPr>
          <w:rFonts w:ascii="Arial" w:hAnsi="Arial" w:cs="Arial"/>
        </w:rPr>
        <w:t xml:space="preserve"> (36).</w:t>
      </w:r>
    </w:p>
    <w:p w14:paraId="6CB06E42" w14:textId="77777777" w:rsidR="00474DCD" w:rsidRPr="001D2ADB" w:rsidRDefault="00474DCD" w:rsidP="001D2ADB">
      <w:pPr>
        <w:spacing w:after="0"/>
        <w:rPr>
          <w:rFonts w:ascii="Arial" w:hAnsi="Arial" w:cs="Arial"/>
        </w:rPr>
      </w:pPr>
    </w:p>
    <w:tbl>
      <w:tblPr>
        <w:tblStyle w:val="TableGrid"/>
        <w:tblW w:w="8845" w:type="dxa"/>
        <w:tblInd w:w="-365" w:type="dxa"/>
        <w:tblLook w:val="04A0" w:firstRow="1" w:lastRow="0" w:firstColumn="1" w:lastColumn="0" w:noHBand="0" w:noVBand="1"/>
      </w:tblPr>
      <w:tblGrid>
        <w:gridCol w:w="2165"/>
        <w:gridCol w:w="1540"/>
        <w:gridCol w:w="1300"/>
        <w:gridCol w:w="960"/>
        <w:gridCol w:w="960"/>
        <w:gridCol w:w="960"/>
        <w:gridCol w:w="960"/>
      </w:tblGrid>
      <w:tr w:rsidR="00470B6C" w:rsidRPr="001D2ADB" w14:paraId="204373E4" w14:textId="77777777" w:rsidTr="005F69B3">
        <w:trPr>
          <w:trHeight w:val="315"/>
        </w:trPr>
        <w:tc>
          <w:tcPr>
            <w:tcW w:w="8845" w:type="dxa"/>
            <w:gridSpan w:val="7"/>
            <w:shd w:val="clear" w:color="auto" w:fill="FFFF00"/>
          </w:tcPr>
          <w:p w14:paraId="1DD8C67D" w14:textId="77777777" w:rsidR="00470B6C" w:rsidRPr="001D2ADB" w:rsidRDefault="00470B6C" w:rsidP="001D2ADB">
            <w:pPr>
              <w:spacing w:after="0"/>
              <w:rPr>
                <w:rFonts w:ascii="Arial" w:eastAsia="Times New Roman" w:hAnsi="Arial" w:cs="Arial"/>
                <w:b/>
                <w:bCs/>
                <w:color w:val="000000"/>
              </w:rPr>
            </w:pPr>
            <w:r w:rsidRPr="001D2ADB">
              <w:rPr>
                <w:rFonts w:ascii="Arial" w:hAnsi="Arial" w:cs="Arial"/>
                <w:b/>
                <w:bCs/>
                <w:shd w:val="clear" w:color="auto" w:fill="FFFF00"/>
              </w:rPr>
              <w:t>Table 4. Statin Therapy Result</w:t>
            </w:r>
            <w:r w:rsidRPr="001D2ADB">
              <w:rPr>
                <w:rFonts w:ascii="Arial" w:hAnsi="Arial" w:cs="Arial"/>
                <w:b/>
                <w:bCs/>
              </w:rPr>
              <w:t>s</w:t>
            </w:r>
          </w:p>
        </w:tc>
      </w:tr>
      <w:tr w:rsidR="00470B6C" w:rsidRPr="001D2ADB" w14:paraId="4BDBE36F" w14:textId="77777777" w:rsidTr="005F69B3">
        <w:trPr>
          <w:trHeight w:val="315"/>
        </w:trPr>
        <w:tc>
          <w:tcPr>
            <w:tcW w:w="2165" w:type="dxa"/>
            <w:vMerge w:val="restart"/>
            <w:hideMark/>
          </w:tcPr>
          <w:p w14:paraId="56C1BA6F" w14:textId="77777777" w:rsidR="00470B6C" w:rsidRPr="001D2ADB" w:rsidRDefault="00470B6C" w:rsidP="001D2ADB">
            <w:pPr>
              <w:spacing w:after="0"/>
              <w:rPr>
                <w:rFonts w:ascii="Arial" w:eastAsia="Times New Roman" w:hAnsi="Arial" w:cs="Arial"/>
                <w:b/>
                <w:bCs/>
                <w:color w:val="000000"/>
              </w:rPr>
            </w:pPr>
            <w:r w:rsidRPr="001D2ADB">
              <w:rPr>
                <w:rFonts w:ascii="Arial" w:eastAsia="Times New Roman" w:hAnsi="Arial" w:cs="Arial"/>
                <w:b/>
                <w:bCs/>
                <w:color w:val="000000"/>
              </w:rPr>
              <w:t>Study</w:t>
            </w:r>
          </w:p>
        </w:tc>
        <w:tc>
          <w:tcPr>
            <w:tcW w:w="1540" w:type="dxa"/>
            <w:vMerge w:val="restart"/>
            <w:hideMark/>
          </w:tcPr>
          <w:p w14:paraId="611A0E89" w14:textId="77777777" w:rsidR="00470B6C" w:rsidRPr="001D2ADB" w:rsidRDefault="00470B6C" w:rsidP="001D2ADB">
            <w:pPr>
              <w:spacing w:after="0"/>
              <w:rPr>
                <w:rFonts w:ascii="Arial" w:eastAsia="Times New Roman" w:hAnsi="Arial" w:cs="Arial"/>
                <w:b/>
                <w:bCs/>
                <w:color w:val="000000"/>
              </w:rPr>
            </w:pPr>
            <w:r w:rsidRPr="001D2ADB">
              <w:rPr>
                <w:rFonts w:ascii="Arial" w:eastAsia="Times New Roman" w:hAnsi="Arial" w:cs="Arial"/>
                <w:b/>
                <w:bCs/>
                <w:color w:val="000000"/>
              </w:rPr>
              <w:t>Medication</w:t>
            </w:r>
          </w:p>
        </w:tc>
        <w:tc>
          <w:tcPr>
            <w:tcW w:w="1300" w:type="dxa"/>
            <w:vMerge w:val="restart"/>
            <w:hideMark/>
          </w:tcPr>
          <w:p w14:paraId="3FAC9249" w14:textId="77777777" w:rsidR="00470B6C" w:rsidRPr="001D2ADB" w:rsidRDefault="00470B6C" w:rsidP="001D2ADB">
            <w:pPr>
              <w:spacing w:after="0"/>
              <w:rPr>
                <w:rFonts w:ascii="Arial" w:eastAsia="Times New Roman" w:hAnsi="Arial" w:cs="Arial"/>
                <w:b/>
                <w:bCs/>
                <w:color w:val="000000"/>
              </w:rPr>
            </w:pPr>
            <w:r w:rsidRPr="001D2ADB">
              <w:rPr>
                <w:rFonts w:ascii="Arial" w:eastAsia="Times New Roman" w:hAnsi="Arial" w:cs="Arial"/>
                <w:b/>
                <w:bCs/>
                <w:color w:val="000000"/>
              </w:rPr>
              <w:t>Dose</w:t>
            </w:r>
          </w:p>
        </w:tc>
        <w:tc>
          <w:tcPr>
            <w:tcW w:w="3840" w:type="dxa"/>
            <w:gridSpan w:val="4"/>
            <w:hideMark/>
          </w:tcPr>
          <w:p w14:paraId="5A74BF4D" w14:textId="77777777" w:rsidR="00470B6C" w:rsidRPr="001D2ADB" w:rsidRDefault="00470B6C" w:rsidP="001D2ADB">
            <w:pPr>
              <w:spacing w:after="0"/>
              <w:rPr>
                <w:rFonts w:ascii="Arial" w:eastAsia="Times New Roman" w:hAnsi="Arial" w:cs="Arial"/>
                <w:b/>
                <w:bCs/>
                <w:color w:val="000000"/>
              </w:rPr>
            </w:pPr>
            <w:r w:rsidRPr="001D2ADB">
              <w:rPr>
                <w:rFonts w:ascii="Arial" w:eastAsia="Times New Roman" w:hAnsi="Arial" w:cs="Arial"/>
                <w:b/>
                <w:bCs/>
                <w:color w:val="000000"/>
              </w:rPr>
              <w:t>Results</w:t>
            </w:r>
          </w:p>
        </w:tc>
      </w:tr>
      <w:tr w:rsidR="00470B6C" w:rsidRPr="001D2ADB" w14:paraId="3BF413E1" w14:textId="77777777" w:rsidTr="005F69B3">
        <w:trPr>
          <w:trHeight w:val="345"/>
        </w:trPr>
        <w:tc>
          <w:tcPr>
            <w:tcW w:w="2165" w:type="dxa"/>
            <w:vMerge/>
            <w:hideMark/>
          </w:tcPr>
          <w:p w14:paraId="4DB0F9D5" w14:textId="77777777" w:rsidR="00470B6C" w:rsidRPr="001D2ADB" w:rsidRDefault="00470B6C" w:rsidP="001D2ADB">
            <w:pPr>
              <w:spacing w:after="0"/>
              <w:rPr>
                <w:rFonts w:ascii="Arial" w:eastAsia="Times New Roman" w:hAnsi="Arial" w:cs="Arial"/>
                <w:b/>
                <w:bCs/>
                <w:color w:val="000000"/>
              </w:rPr>
            </w:pPr>
          </w:p>
        </w:tc>
        <w:tc>
          <w:tcPr>
            <w:tcW w:w="1540" w:type="dxa"/>
            <w:vMerge/>
            <w:hideMark/>
          </w:tcPr>
          <w:p w14:paraId="196D386C" w14:textId="77777777" w:rsidR="00470B6C" w:rsidRPr="001D2ADB" w:rsidRDefault="00470B6C" w:rsidP="001D2ADB">
            <w:pPr>
              <w:spacing w:after="0"/>
              <w:rPr>
                <w:rFonts w:ascii="Arial" w:eastAsia="Times New Roman" w:hAnsi="Arial" w:cs="Arial"/>
                <w:b/>
                <w:bCs/>
                <w:color w:val="000000"/>
              </w:rPr>
            </w:pPr>
          </w:p>
        </w:tc>
        <w:tc>
          <w:tcPr>
            <w:tcW w:w="1300" w:type="dxa"/>
            <w:vMerge/>
            <w:hideMark/>
          </w:tcPr>
          <w:p w14:paraId="0E1A4B1F" w14:textId="77777777" w:rsidR="00470B6C" w:rsidRPr="001D2ADB" w:rsidRDefault="00470B6C" w:rsidP="001D2ADB">
            <w:pPr>
              <w:spacing w:after="0"/>
              <w:rPr>
                <w:rFonts w:ascii="Arial" w:eastAsia="Times New Roman" w:hAnsi="Arial" w:cs="Arial"/>
                <w:b/>
                <w:bCs/>
                <w:color w:val="000000"/>
              </w:rPr>
            </w:pPr>
          </w:p>
        </w:tc>
        <w:tc>
          <w:tcPr>
            <w:tcW w:w="960" w:type="dxa"/>
            <w:hideMark/>
          </w:tcPr>
          <w:p w14:paraId="21C0AD78" w14:textId="77777777" w:rsidR="00470B6C" w:rsidRPr="001D2ADB" w:rsidRDefault="00470B6C" w:rsidP="001D2ADB">
            <w:pPr>
              <w:spacing w:after="0"/>
              <w:rPr>
                <w:rFonts w:ascii="Arial" w:eastAsia="Times New Roman" w:hAnsi="Arial" w:cs="Arial"/>
                <w:b/>
                <w:bCs/>
                <w:color w:val="000000"/>
              </w:rPr>
            </w:pPr>
            <w:r w:rsidRPr="001D2ADB">
              <w:rPr>
                <w:rFonts w:ascii="Arial" w:eastAsia="Times New Roman" w:hAnsi="Arial" w:cs="Arial"/>
                <w:b/>
                <w:bCs/>
                <w:color w:val="000000"/>
              </w:rPr>
              <w:t>LDL-C</w:t>
            </w:r>
          </w:p>
        </w:tc>
        <w:tc>
          <w:tcPr>
            <w:tcW w:w="960" w:type="dxa"/>
            <w:hideMark/>
          </w:tcPr>
          <w:p w14:paraId="77CB99D3" w14:textId="77777777" w:rsidR="00470B6C" w:rsidRPr="001D2ADB" w:rsidRDefault="00470B6C" w:rsidP="001D2ADB">
            <w:pPr>
              <w:spacing w:after="0"/>
              <w:rPr>
                <w:rFonts w:ascii="Arial" w:eastAsia="Times New Roman" w:hAnsi="Arial" w:cs="Arial"/>
                <w:b/>
                <w:bCs/>
                <w:color w:val="000000"/>
              </w:rPr>
            </w:pPr>
            <w:r w:rsidRPr="001D2ADB">
              <w:rPr>
                <w:rFonts w:ascii="Arial" w:eastAsia="Times New Roman" w:hAnsi="Arial" w:cs="Arial"/>
                <w:b/>
                <w:bCs/>
                <w:color w:val="000000"/>
              </w:rPr>
              <w:t>HDL-C</w:t>
            </w:r>
          </w:p>
        </w:tc>
        <w:tc>
          <w:tcPr>
            <w:tcW w:w="960" w:type="dxa"/>
            <w:hideMark/>
          </w:tcPr>
          <w:p w14:paraId="58D92D8F" w14:textId="77777777" w:rsidR="00470B6C" w:rsidRPr="001D2ADB" w:rsidRDefault="00470B6C" w:rsidP="001D2ADB">
            <w:pPr>
              <w:spacing w:after="0"/>
              <w:rPr>
                <w:rFonts w:ascii="Arial" w:eastAsia="Times New Roman" w:hAnsi="Arial" w:cs="Arial"/>
                <w:b/>
                <w:bCs/>
                <w:color w:val="000000"/>
              </w:rPr>
            </w:pPr>
            <w:r w:rsidRPr="001D2ADB">
              <w:rPr>
                <w:rFonts w:ascii="Arial" w:eastAsia="Times New Roman" w:hAnsi="Arial" w:cs="Arial"/>
                <w:b/>
                <w:bCs/>
                <w:color w:val="000000"/>
              </w:rPr>
              <w:t>TC</w:t>
            </w:r>
          </w:p>
        </w:tc>
        <w:tc>
          <w:tcPr>
            <w:tcW w:w="960" w:type="dxa"/>
            <w:hideMark/>
          </w:tcPr>
          <w:p w14:paraId="1EB5B52C" w14:textId="77777777" w:rsidR="00470B6C" w:rsidRPr="001D2ADB" w:rsidRDefault="00470B6C" w:rsidP="001D2ADB">
            <w:pPr>
              <w:spacing w:after="0"/>
              <w:rPr>
                <w:rFonts w:ascii="Arial" w:eastAsia="Times New Roman" w:hAnsi="Arial" w:cs="Arial"/>
                <w:b/>
                <w:bCs/>
                <w:color w:val="000000"/>
              </w:rPr>
            </w:pPr>
            <w:r w:rsidRPr="001D2ADB">
              <w:rPr>
                <w:rFonts w:ascii="Arial" w:eastAsia="Times New Roman" w:hAnsi="Arial" w:cs="Arial"/>
                <w:b/>
                <w:bCs/>
                <w:color w:val="000000"/>
              </w:rPr>
              <w:t>TG</w:t>
            </w:r>
          </w:p>
        </w:tc>
      </w:tr>
      <w:tr w:rsidR="00470B6C" w:rsidRPr="001D2ADB" w14:paraId="17FD08B3" w14:textId="77777777" w:rsidTr="005F69B3">
        <w:trPr>
          <w:trHeight w:val="300"/>
        </w:trPr>
        <w:tc>
          <w:tcPr>
            <w:tcW w:w="2165" w:type="dxa"/>
            <w:hideMark/>
          </w:tcPr>
          <w:p w14:paraId="1DAB6FBD" w14:textId="790196D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McCrindle, et al</w:t>
            </w:r>
            <w:r w:rsidR="00DF60EB" w:rsidRPr="001D2ADB">
              <w:rPr>
                <w:rFonts w:ascii="Arial" w:eastAsia="Times New Roman" w:hAnsi="Arial" w:cs="Arial"/>
                <w:color w:val="000000"/>
              </w:rPr>
              <w:t xml:space="preserve"> (22</w:t>
            </w:r>
            <w:r w:rsidR="00D94C68" w:rsidRPr="001D2ADB">
              <w:rPr>
                <w:rFonts w:ascii="Arial" w:eastAsia="Times New Roman" w:hAnsi="Arial" w:cs="Arial"/>
                <w:color w:val="000000"/>
              </w:rPr>
              <w:t>)</w:t>
            </w:r>
          </w:p>
        </w:tc>
        <w:tc>
          <w:tcPr>
            <w:tcW w:w="1540" w:type="dxa"/>
            <w:hideMark/>
          </w:tcPr>
          <w:p w14:paraId="54EA66B2"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Atorvastatin</w:t>
            </w:r>
          </w:p>
        </w:tc>
        <w:tc>
          <w:tcPr>
            <w:tcW w:w="1300" w:type="dxa"/>
            <w:hideMark/>
          </w:tcPr>
          <w:p w14:paraId="3F72ADFB"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10-20 mg/day</w:t>
            </w:r>
          </w:p>
        </w:tc>
        <w:tc>
          <w:tcPr>
            <w:tcW w:w="960" w:type="dxa"/>
            <w:hideMark/>
          </w:tcPr>
          <w:p w14:paraId="2D893E91"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-40%</w:t>
            </w:r>
          </w:p>
        </w:tc>
        <w:tc>
          <w:tcPr>
            <w:tcW w:w="960" w:type="dxa"/>
            <w:hideMark/>
          </w:tcPr>
          <w:p w14:paraId="053205F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+6%</w:t>
            </w:r>
          </w:p>
        </w:tc>
        <w:tc>
          <w:tcPr>
            <w:tcW w:w="960" w:type="dxa"/>
            <w:hideMark/>
          </w:tcPr>
          <w:p w14:paraId="6B1C6F0F"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-30%</w:t>
            </w:r>
          </w:p>
        </w:tc>
        <w:tc>
          <w:tcPr>
            <w:tcW w:w="960" w:type="dxa"/>
            <w:hideMark/>
          </w:tcPr>
          <w:p w14:paraId="3CDD7C79"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-13%</w:t>
            </w:r>
          </w:p>
        </w:tc>
      </w:tr>
      <w:tr w:rsidR="00470B6C" w:rsidRPr="001D2ADB" w14:paraId="1107914C" w14:textId="77777777" w:rsidTr="005F69B3">
        <w:trPr>
          <w:trHeight w:val="330"/>
        </w:trPr>
        <w:tc>
          <w:tcPr>
            <w:tcW w:w="2165" w:type="dxa"/>
            <w:hideMark/>
          </w:tcPr>
          <w:p w14:paraId="61436D3A" w14:textId="49824BD0"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lastRenderedPageBreak/>
              <w:t>van der Graaf, et al</w:t>
            </w:r>
            <w:r w:rsidR="00DF60EB" w:rsidRPr="001D2ADB">
              <w:rPr>
                <w:rFonts w:ascii="Arial" w:eastAsia="Times New Roman" w:hAnsi="Arial" w:cs="Arial"/>
                <w:color w:val="000000"/>
              </w:rPr>
              <w:t xml:space="preserve"> (23</w:t>
            </w:r>
            <w:r w:rsidR="00D94C68" w:rsidRPr="001D2ADB">
              <w:rPr>
                <w:rFonts w:ascii="Arial" w:eastAsia="Times New Roman" w:hAnsi="Arial" w:cs="Arial"/>
                <w:color w:val="000000"/>
              </w:rPr>
              <w:t>)</w:t>
            </w:r>
          </w:p>
        </w:tc>
        <w:tc>
          <w:tcPr>
            <w:tcW w:w="1540" w:type="dxa"/>
            <w:hideMark/>
          </w:tcPr>
          <w:p w14:paraId="72C23EBB"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Fluvastatin</w:t>
            </w:r>
          </w:p>
        </w:tc>
        <w:tc>
          <w:tcPr>
            <w:tcW w:w="1300" w:type="dxa"/>
            <w:hideMark/>
          </w:tcPr>
          <w:p w14:paraId="20ED8505"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80 mg/day</w:t>
            </w:r>
          </w:p>
        </w:tc>
        <w:tc>
          <w:tcPr>
            <w:tcW w:w="960" w:type="dxa"/>
            <w:hideMark/>
          </w:tcPr>
          <w:p w14:paraId="5314D8AC"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-34%</w:t>
            </w:r>
          </w:p>
        </w:tc>
        <w:tc>
          <w:tcPr>
            <w:tcW w:w="960" w:type="dxa"/>
            <w:hideMark/>
          </w:tcPr>
          <w:p w14:paraId="61C91FB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+5%</w:t>
            </w:r>
          </w:p>
        </w:tc>
        <w:tc>
          <w:tcPr>
            <w:tcW w:w="960" w:type="dxa"/>
            <w:hideMark/>
          </w:tcPr>
          <w:p w14:paraId="7BD38D05"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-27%</w:t>
            </w:r>
          </w:p>
        </w:tc>
        <w:tc>
          <w:tcPr>
            <w:tcW w:w="960" w:type="dxa"/>
            <w:hideMark/>
          </w:tcPr>
          <w:p w14:paraId="7DD5E037"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-5%</w:t>
            </w:r>
          </w:p>
        </w:tc>
      </w:tr>
      <w:tr w:rsidR="00470B6C" w:rsidRPr="001D2ADB" w14:paraId="1B8F9993" w14:textId="77777777" w:rsidTr="005F69B3">
        <w:trPr>
          <w:trHeight w:val="330"/>
        </w:trPr>
        <w:tc>
          <w:tcPr>
            <w:tcW w:w="2165" w:type="dxa"/>
            <w:hideMark/>
          </w:tcPr>
          <w:p w14:paraId="6A5DD910" w14:textId="5E115148"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Clauss, et al</w:t>
            </w:r>
            <w:r w:rsidR="00D94C68" w:rsidRPr="001D2ADB">
              <w:rPr>
                <w:rFonts w:ascii="Arial" w:eastAsia="Times New Roman" w:hAnsi="Arial" w:cs="Arial"/>
                <w:color w:val="000000"/>
              </w:rPr>
              <w:t xml:space="preserve"> (2</w:t>
            </w:r>
            <w:r w:rsidR="00DF60EB" w:rsidRPr="001D2ADB">
              <w:rPr>
                <w:rFonts w:ascii="Arial" w:eastAsia="Times New Roman" w:hAnsi="Arial" w:cs="Arial"/>
                <w:color w:val="000000"/>
              </w:rPr>
              <w:t>4</w:t>
            </w:r>
            <w:r w:rsidR="00D94C68" w:rsidRPr="001D2ADB">
              <w:rPr>
                <w:rFonts w:ascii="Arial" w:eastAsia="Times New Roman" w:hAnsi="Arial" w:cs="Arial"/>
                <w:color w:val="000000"/>
              </w:rPr>
              <w:t>)</w:t>
            </w:r>
          </w:p>
        </w:tc>
        <w:tc>
          <w:tcPr>
            <w:tcW w:w="1540" w:type="dxa"/>
            <w:hideMark/>
          </w:tcPr>
          <w:p w14:paraId="2D5D2D74"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Lovastatin</w:t>
            </w:r>
          </w:p>
        </w:tc>
        <w:tc>
          <w:tcPr>
            <w:tcW w:w="1300" w:type="dxa"/>
            <w:hideMark/>
          </w:tcPr>
          <w:p w14:paraId="6AA59188"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40 mg/day</w:t>
            </w:r>
          </w:p>
        </w:tc>
        <w:tc>
          <w:tcPr>
            <w:tcW w:w="960" w:type="dxa"/>
            <w:hideMark/>
          </w:tcPr>
          <w:p w14:paraId="6CCCF8C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-27%</w:t>
            </w:r>
          </w:p>
        </w:tc>
        <w:tc>
          <w:tcPr>
            <w:tcW w:w="960" w:type="dxa"/>
            <w:hideMark/>
          </w:tcPr>
          <w:p w14:paraId="0E71CDFB"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w:t>
            </w:r>
          </w:p>
        </w:tc>
        <w:tc>
          <w:tcPr>
            <w:tcW w:w="960" w:type="dxa"/>
            <w:hideMark/>
          </w:tcPr>
          <w:p w14:paraId="3EF7D340"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-22%</w:t>
            </w:r>
          </w:p>
        </w:tc>
        <w:tc>
          <w:tcPr>
            <w:tcW w:w="960" w:type="dxa"/>
            <w:hideMark/>
          </w:tcPr>
          <w:p w14:paraId="44701983"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-23%</w:t>
            </w:r>
          </w:p>
        </w:tc>
      </w:tr>
      <w:tr w:rsidR="00470B6C" w:rsidRPr="001D2ADB" w14:paraId="58BC0737" w14:textId="77777777" w:rsidTr="005F69B3">
        <w:trPr>
          <w:trHeight w:val="330"/>
        </w:trPr>
        <w:tc>
          <w:tcPr>
            <w:tcW w:w="2165" w:type="dxa"/>
            <w:hideMark/>
          </w:tcPr>
          <w:p w14:paraId="6F034DDA" w14:textId="0AB6BD6A"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Lambert, et al</w:t>
            </w:r>
            <w:r w:rsidR="00D94C68" w:rsidRPr="001D2ADB">
              <w:rPr>
                <w:rFonts w:ascii="Arial" w:eastAsia="Times New Roman" w:hAnsi="Arial" w:cs="Arial"/>
                <w:color w:val="000000"/>
              </w:rPr>
              <w:t xml:space="preserve"> (2</w:t>
            </w:r>
            <w:r w:rsidR="00DF60EB" w:rsidRPr="001D2ADB">
              <w:rPr>
                <w:rFonts w:ascii="Arial" w:eastAsia="Times New Roman" w:hAnsi="Arial" w:cs="Arial"/>
                <w:color w:val="000000"/>
              </w:rPr>
              <w:t>5</w:t>
            </w:r>
            <w:r w:rsidR="00D94C68" w:rsidRPr="001D2ADB">
              <w:rPr>
                <w:rFonts w:ascii="Arial" w:eastAsia="Times New Roman" w:hAnsi="Arial" w:cs="Arial"/>
                <w:color w:val="000000"/>
              </w:rPr>
              <w:t>)</w:t>
            </w:r>
          </w:p>
        </w:tc>
        <w:tc>
          <w:tcPr>
            <w:tcW w:w="1540" w:type="dxa"/>
            <w:hideMark/>
          </w:tcPr>
          <w:p w14:paraId="6CCE9FE6"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Lovastatin</w:t>
            </w:r>
          </w:p>
        </w:tc>
        <w:tc>
          <w:tcPr>
            <w:tcW w:w="1300" w:type="dxa"/>
            <w:hideMark/>
          </w:tcPr>
          <w:p w14:paraId="4DD9368F"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10 mg/day</w:t>
            </w:r>
          </w:p>
        </w:tc>
        <w:tc>
          <w:tcPr>
            <w:tcW w:w="960" w:type="dxa"/>
            <w:hideMark/>
          </w:tcPr>
          <w:p w14:paraId="210EFD78"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-21%</w:t>
            </w:r>
          </w:p>
        </w:tc>
        <w:tc>
          <w:tcPr>
            <w:tcW w:w="960" w:type="dxa"/>
            <w:hideMark/>
          </w:tcPr>
          <w:p w14:paraId="571E9F30"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+9%</w:t>
            </w:r>
          </w:p>
        </w:tc>
        <w:tc>
          <w:tcPr>
            <w:tcW w:w="960" w:type="dxa"/>
            <w:hideMark/>
          </w:tcPr>
          <w:p w14:paraId="4CCDCFE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-17%</w:t>
            </w:r>
          </w:p>
        </w:tc>
        <w:tc>
          <w:tcPr>
            <w:tcW w:w="960" w:type="dxa"/>
            <w:hideMark/>
          </w:tcPr>
          <w:p w14:paraId="0EAE889F"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-18%</w:t>
            </w:r>
          </w:p>
        </w:tc>
      </w:tr>
      <w:tr w:rsidR="00470B6C" w:rsidRPr="001D2ADB" w14:paraId="516BF118" w14:textId="77777777" w:rsidTr="005F69B3">
        <w:trPr>
          <w:trHeight w:val="330"/>
        </w:trPr>
        <w:tc>
          <w:tcPr>
            <w:tcW w:w="2165" w:type="dxa"/>
            <w:hideMark/>
          </w:tcPr>
          <w:p w14:paraId="406D9F73" w14:textId="672FC4A1"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Lambert, et al</w:t>
            </w:r>
            <w:r w:rsidR="00DF60EB" w:rsidRPr="001D2ADB">
              <w:rPr>
                <w:rFonts w:ascii="Arial" w:eastAsia="Times New Roman" w:hAnsi="Arial" w:cs="Arial"/>
                <w:color w:val="000000"/>
              </w:rPr>
              <w:t xml:space="preserve"> (25</w:t>
            </w:r>
            <w:r w:rsidR="00D94C68" w:rsidRPr="001D2ADB">
              <w:rPr>
                <w:rFonts w:ascii="Arial" w:eastAsia="Times New Roman" w:hAnsi="Arial" w:cs="Arial"/>
                <w:color w:val="000000"/>
              </w:rPr>
              <w:t>)</w:t>
            </w:r>
          </w:p>
        </w:tc>
        <w:tc>
          <w:tcPr>
            <w:tcW w:w="1540" w:type="dxa"/>
            <w:hideMark/>
          </w:tcPr>
          <w:p w14:paraId="488AC9C8"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Lovastatin</w:t>
            </w:r>
          </w:p>
        </w:tc>
        <w:tc>
          <w:tcPr>
            <w:tcW w:w="1300" w:type="dxa"/>
            <w:hideMark/>
          </w:tcPr>
          <w:p w14:paraId="0F6BD0AE"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20 mg/day</w:t>
            </w:r>
          </w:p>
        </w:tc>
        <w:tc>
          <w:tcPr>
            <w:tcW w:w="960" w:type="dxa"/>
            <w:hideMark/>
          </w:tcPr>
          <w:p w14:paraId="36316094"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-24%</w:t>
            </w:r>
          </w:p>
        </w:tc>
        <w:tc>
          <w:tcPr>
            <w:tcW w:w="960" w:type="dxa"/>
            <w:hideMark/>
          </w:tcPr>
          <w:p w14:paraId="1F52DE8A"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w:t>
            </w:r>
          </w:p>
        </w:tc>
        <w:tc>
          <w:tcPr>
            <w:tcW w:w="960" w:type="dxa"/>
            <w:hideMark/>
          </w:tcPr>
          <w:p w14:paraId="493026A1"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-19%</w:t>
            </w:r>
          </w:p>
        </w:tc>
        <w:tc>
          <w:tcPr>
            <w:tcW w:w="960" w:type="dxa"/>
            <w:hideMark/>
          </w:tcPr>
          <w:p w14:paraId="5746C7C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+9%</w:t>
            </w:r>
          </w:p>
        </w:tc>
      </w:tr>
      <w:tr w:rsidR="00470B6C" w:rsidRPr="001D2ADB" w14:paraId="66396E5D" w14:textId="77777777" w:rsidTr="005F69B3">
        <w:trPr>
          <w:trHeight w:val="330"/>
        </w:trPr>
        <w:tc>
          <w:tcPr>
            <w:tcW w:w="2165" w:type="dxa"/>
            <w:hideMark/>
          </w:tcPr>
          <w:p w14:paraId="350CF598" w14:textId="1FF4C355"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Lambert, et al</w:t>
            </w:r>
            <w:r w:rsidR="00DF60EB" w:rsidRPr="001D2ADB">
              <w:rPr>
                <w:rFonts w:ascii="Arial" w:eastAsia="Times New Roman" w:hAnsi="Arial" w:cs="Arial"/>
                <w:color w:val="000000"/>
              </w:rPr>
              <w:t xml:space="preserve"> (25</w:t>
            </w:r>
            <w:r w:rsidR="00D94C68" w:rsidRPr="001D2ADB">
              <w:rPr>
                <w:rFonts w:ascii="Arial" w:eastAsia="Times New Roman" w:hAnsi="Arial" w:cs="Arial"/>
                <w:color w:val="000000"/>
              </w:rPr>
              <w:t>)</w:t>
            </w:r>
          </w:p>
        </w:tc>
        <w:tc>
          <w:tcPr>
            <w:tcW w:w="1540" w:type="dxa"/>
            <w:hideMark/>
          </w:tcPr>
          <w:p w14:paraId="4D3693D2"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Lovastatin</w:t>
            </w:r>
          </w:p>
        </w:tc>
        <w:tc>
          <w:tcPr>
            <w:tcW w:w="1300" w:type="dxa"/>
            <w:hideMark/>
          </w:tcPr>
          <w:p w14:paraId="41D1C3B1"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30 mg/day</w:t>
            </w:r>
          </w:p>
        </w:tc>
        <w:tc>
          <w:tcPr>
            <w:tcW w:w="960" w:type="dxa"/>
            <w:hideMark/>
          </w:tcPr>
          <w:p w14:paraId="274D466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-27%</w:t>
            </w:r>
          </w:p>
        </w:tc>
        <w:tc>
          <w:tcPr>
            <w:tcW w:w="960" w:type="dxa"/>
            <w:hideMark/>
          </w:tcPr>
          <w:p w14:paraId="5A93975E"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+11%</w:t>
            </w:r>
          </w:p>
        </w:tc>
        <w:tc>
          <w:tcPr>
            <w:tcW w:w="960" w:type="dxa"/>
            <w:hideMark/>
          </w:tcPr>
          <w:p w14:paraId="6B22CDD5"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-21%</w:t>
            </w:r>
          </w:p>
        </w:tc>
        <w:tc>
          <w:tcPr>
            <w:tcW w:w="960" w:type="dxa"/>
            <w:hideMark/>
          </w:tcPr>
          <w:p w14:paraId="313F58AB"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w:t>
            </w:r>
          </w:p>
        </w:tc>
      </w:tr>
      <w:tr w:rsidR="00470B6C" w:rsidRPr="001D2ADB" w14:paraId="076DE9D8" w14:textId="77777777" w:rsidTr="005F69B3">
        <w:trPr>
          <w:trHeight w:val="330"/>
        </w:trPr>
        <w:tc>
          <w:tcPr>
            <w:tcW w:w="2165" w:type="dxa"/>
            <w:hideMark/>
          </w:tcPr>
          <w:p w14:paraId="444BC23F" w14:textId="0A94A1B5"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Lambert, et al</w:t>
            </w:r>
            <w:r w:rsidR="00DF60EB" w:rsidRPr="001D2ADB">
              <w:rPr>
                <w:rFonts w:ascii="Arial" w:eastAsia="Times New Roman" w:hAnsi="Arial" w:cs="Arial"/>
                <w:color w:val="000000"/>
              </w:rPr>
              <w:t xml:space="preserve"> (25</w:t>
            </w:r>
            <w:r w:rsidR="00D94C68" w:rsidRPr="001D2ADB">
              <w:rPr>
                <w:rFonts w:ascii="Arial" w:eastAsia="Times New Roman" w:hAnsi="Arial" w:cs="Arial"/>
                <w:color w:val="000000"/>
              </w:rPr>
              <w:t>)</w:t>
            </w:r>
          </w:p>
        </w:tc>
        <w:tc>
          <w:tcPr>
            <w:tcW w:w="1540" w:type="dxa"/>
            <w:hideMark/>
          </w:tcPr>
          <w:p w14:paraId="2967CA46"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Lovastatin</w:t>
            </w:r>
          </w:p>
        </w:tc>
        <w:tc>
          <w:tcPr>
            <w:tcW w:w="1300" w:type="dxa"/>
            <w:hideMark/>
          </w:tcPr>
          <w:p w14:paraId="0DC79BA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40 mg/day</w:t>
            </w:r>
          </w:p>
        </w:tc>
        <w:tc>
          <w:tcPr>
            <w:tcW w:w="960" w:type="dxa"/>
            <w:hideMark/>
          </w:tcPr>
          <w:p w14:paraId="3DABF0D3"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-36%</w:t>
            </w:r>
          </w:p>
        </w:tc>
        <w:tc>
          <w:tcPr>
            <w:tcW w:w="960" w:type="dxa"/>
            <w:hideMark/>
          </w:tcPr>
          <w:p w14:paraId="0842923E"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w:t>
            </w:r>
          </w:p>
        </w:tc>
        <w:tc>
          <w:tcPr>
            <w:tcW w:w="960" w:type="dxa"/>
            <w:hideMark/>
          </w:tcPr>
          <w:p w14:paraId="7CF101DA"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-29%</w:t>
            </w:r>
          </w:p>
        </w:tc>
        <w:tc>
          <w:tcPr>
            <w:tcW w:w="960" w:type="dxa"/>
            <w:hideMark/>
          </w:tcPr>
          <w:p w14:paraId="44E10447"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-9%</w:t>
            </w:r>
          </w:p>
        </w:tc>
      </w:tr>
      <w:tr w:rsidR="00470B6C" w:rsidRPr="001D2ADB" w14:paraId="7434C3FB" w14:textId="77777777" w:rsidTr="005F69B3">
        <w:trPr>
          <w:trHeight w:val="330"/>
        </w:trPr>
        <w:tc>
          <w:tcPr>
            <w:tcW w:w="2165" w:type="dxa"/>
            <w:hideMark/>
          </w:tcPr>
          <w:p w14:paraId="1EB0B2FA" w14:textId="64549208"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Stein, et al</w:t>
            </w:r>
            <w:r w:rsidR="00DF60EB" w:rsidRPr="001D2ADB">
              <w:rPr>
                <w:rFonts w:ascii="Arial" w:eastAsia="Times New Roman" w:hAnsi="Arial" w:cs="Arial"/>
                <w:color w:val="000000"/>
              </w:rPr>
              <w:t xml:space="preserve"> (26</w:t>
            </w:r>
            <w:r w:rsidR="00D94C68" w:rsidRPr="001D2ADB">
              <w:rPr>
                <w:rFonts w:ascii="Arial" w:eastAsia="Times New Roman" w:hAnsi="Arial" w:cs="Arial"/>
                <w:color w:val="000000"/>
              </w:rPr>
              <w:t>)</w:t>
            </w:r>
          </w:p>
        </w:tc>
        <w:tc>
          <w:tcPr>
            <w:tcW w:w="1540" w:type="dxa"/>
            <w:hideMark/>
          </w:tcPr>
          <w:p w14:paraId="7BCEDA70"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Lovastatin</w:t>
            </w:r>
          </w:p>
        </w:tc>
        <w:tc>
          <w:tcPr>
            <w:tcW w:w="1300" w:type="dxa"/>
            <w:hideMark/>
          </w:tcPr>
          <w:p w14:paraId="499EEEA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10 mg/day</w:t>
            </w:r>
          </w:p>
        </w:tc>
        <w:tc>
          <w:tcPr>
            <w:tcW w:w="960" w:type="dxa"/>
            <w:hideMark/>
          </w:tcPr>
          <w:p w14:paraId="71374394"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-17%</w:t>
            </w:r>
          </w:p>
        </w:tc>
        <w:tc>
          <w:tcPr>
            <w:tcW w:w="960" w:type="dxa"/>
            <w:hideMark/>
          </w:tcPr>
          <w:p w14:paraId="702871B5"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w:t>
            </w:r>
          </w:p>
        </w:tc>
        <w:tc>
          <w:tcPr>
            <w:tcW w:w="960" w:type="dxa"/>
            <w:hideMark/>
          </w:tcPr>
          <w:p w14:paraId="5A9F3127"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-13%</w:t>
            </w:r>
          </w:p>
        </w:tc>
        <w:tc>
          <w:tcPr>
            <w:tcW w:w="960" w:type="dxa"/>
            <w:hideMark/>
          </w:tcPr>
          <w:p w14:paraId="282D7D83"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w:t>
            </w:r>
          </w:p>
        </w:tc>
      </w:tr>
      <w:tr w:rsidR="00470B6C" w:rsidRPr="001D2ADB" w14:paraId="263D4F4D" w14:textId="77777777" w:rsidTr="005F69B3">
        <w:trPr>
          <w:trHeight w:val="330"/>
        </w:trPr>
        <w:tc>
          <w:tcPr>
            <w:tcW w:w="2165" w:type="dxa"/>
            <w:hideMark/>
          </w:tcPr>
          <w:p w14:paraId="274F79A2" w14:textId="3B94F92C"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Stein, et al</w:t>
            </w:r>
            <w:r w:rsidR="00DF60EB" w:rsidRPr="001D2ADB">
              <w:rPr>
                <w:rFonts w:ascii="Arial" w:eastAsia="Times New Roman" w:hAnsi="Arial" w:cs="Arial"/>
                <w:color w:val="000000"/>
              </w:rPr>
              <w:t xml:space="preserve"> (26</w:t>
            </w:r>
            <w:r w:rsidR="00D94C68" w:rsidRPr="001D2ADB">
              <w:rPr>
                <w:rFonts w:ascii="Arial" w:eastAsia="Times New Roman" w:hAnsi="Arial" w:cs="Arial"/>
                <w:color w:val="000000"/>
              </w:rPr>
              <w:t>)</w:t>
            </w:r>
          </w:p>
        </w:tc>
        <w:tc>
          <w:tcPr>
            <w:tcW w:w="1540" w:type="dxa"/>
            <w:hideMark/>
          </w:tcPr>
          <w:p w14:paraId="2EFA02A9"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Lovastatin</w:t>
            </w:r>
          </w:p>
        </w:tc>
        <w:tc>
          <w:tcPr>
            <w:tcW w:w="1300" w:type="dxa"/>
            <w:hideMark/>
          </w:tcPr>
          <w:p w14:paraId="4844D9D2"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20 mg/day</w:t>
            </w:r>
          </w:p>
        </w:tc>
        <w:tc>
          <w:tcPr>
            <w:tcW w:w="960" w:type="dxa"/>
            <w:hideMark/>
          </w:tcPr>
          <w:p w14:paraId="1465319F"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-24%</w:t>
            </w:r>
          </w:p>
        </w:tc>
        <w:tc>
          <w:tcPr>
            <w:tcW w:w="960" w:type="dxa"/>
            <w:hideMark/>
          </w:tcPr>
          <w:p w14:paraId="092D5C8F"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w:t>
            </w:r>
          </w:p>
        </w:tc>
        <w:tc>
          <w:tcPr>
            <w:tcW w:w="960" w:type="dxa"/>
            <w:hideMark/>
          </w:tcPr>
          <w:p w14:paraId="2C448B7A"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-19%</w:t>
            </w:r>
          </w:p>
        </w:tc>
        <w:tc>
          <w:tcPr>
            <w:tcW w:w="960" w:type="dxa"/>
            <w:hideMark/>
          </w:tcPr>
          <w:p w14:paraId="5CA7A3A1"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+8%</w:t>
            </w:r>
          </w:p>
        </w:tc>
      </w:tr>
      <w:tr w:rsidR="00470B6C" w:rsidRPr="001D2ADB" w14:paraId="7F80B962" w14:textId="77777777" w:rsidTr="005F69B3">
        <w:trPr>
          <w:trHeight w:val="330"/>
        </w:trPr>
        <w:tc>
          <w:tcPr>
            <w:tcW w:w="2165" w:type="dxa"/>
            <w:hideMark/>
          </w:tcPr>
          <w:p w14:paraId="19180176" w14:textId="26D69FE1"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Stein, et al</w:t>
            </w:r>
            <w:r w:rsidR="00DF60EB" w:rsidRPr="001D2ADB">
              <w:rPr>
                <w:rFonts w:ascii="Arial" w:eastAsia="Times New Roman" w:hAnsi="Arial" w:cs="Arial"/>
                <w:color w:val="000000"/>
              </w:rPr>
              <w:t xml:space="preserve"> (26</w:t>
            </w:r>
            <w:r w:rsidR="00D94C68" w:rsidRPr="001D2ADB">
              <w:rPr>
                <w:rFonts w:ascii="Arial" w:eastAsia="Times New Roman" w:hAnsi="Arial" w:cs="Arial"/>
                <w:color w:val="000000"/>
              </w:rPr>
              <w:t>)</w:t>
            </w:r>
          </w:p>
        </w:tc>
        <w:tc>
          <w:tcPr>
            <w:tcW w:w="1540" w:type="dxa"/>
            <w:hideMark/>
          </w:tcPr>
          <w:p w14:paraId="48FCC018"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Lovastatin</w:t>
            </w:r>
          </w:p>
        </w:tc>
        <w:tc>
          <w:tcPr>
            <w:tcW w:w="1300" w:type="dxa"/>
            <w:hideMark/>
          </w:tcPr>
          <w:p w14:paraId="23622359"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40 mg/day</w:t>
            </w:r>
          </w:p>
        </w:tc>
        <w:tc>
          <w:tcPr>
            <w:tcW w:w="960" w:type="dxa"/>
            <w:hideMark/>
          </w:tcPr>
          <w:p w14:paraId="06F2E3E1"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-27%</w:t>
            </w:r>
          </w:p>
        </w:tc>
        <w:tc>
          <w:tcPr>
            <w:tcW w:w="960" w:type="dxa"/>
            <w:hideMark/>
          </w:tcPr>
          <w:p w14:paraId="2F1CDA59"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+5%</w:t>
            </w:r>
          </w:p>
        </w:tc>
        <w:tc>
          <w:tcPr>
            <w:tcW w:w="960" w:type="dxa"/>
            <w:hideMark/>
          </w:tcPr>
          <w:p w14:paraId="00F1573C"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-21%</w:t>
            </w:r>
          </w:p>
        </w:tc>
        <w:tc>
          <w:tcPr>
            <w:tcW w:w="960" w:type="dxa"/>
            <w:hideMark/>
          </w:tcPr>
          <w:p w14:paraId="45AC568A"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+6%</w:t>
            </w:r>
          </w:p>
        </w:tc>
      </w:tr>
      <w:tr w:rsidR="00470B6C" w:rsidRPr="001D2ADB" w14:paraId="1A1EA961" w14:textId="77777777" w:rsidTr="005F69B3">
        <w:trPr>
          <w:trHeight w:val="330"/>
        </w:trPr>
        <w:tc>
          <w:tcPr>
            <w:tcW w:w="2165" w:type="dxa"/>
            <w:hideMark/>
          </w:tcPr>
          <w:p w14:paraId="0854D453" w14:textId="52CF661F"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Knipscheer, et al</w:t>
            </w:r>
            <w:r w:rsidR="00DF60EB" w:rsidRPr="001D2ADB">
              <w:rPr>
                <w:rFonts w:ascii="Arial" w:eastAsia="Times New Roman" w:hAnsi="Arial" w:cs="Arial"/>
                <w:color w:val="000000"/>
              </w:rPr>
              <w:t xml:space="preserve"> (27)</w:t>
            </w:r>
          </w:p>
        </w:tc>
        <w:tc>
          <w:tcPr>
            <w:tcW w:w="1540" w:type="dxa"/>
            <w:hideMark/>
          </w:tcPr>
          <w:p w14:paraId="39622109"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Pravastatin</w:t>
            </w:r>
          </w:p>
        </w:tc>
        <w:tc>
          <w:tcPr>
            <w:tcW w:w="1300" w:type="dxa"/>
            <w:hideMark/>
          </w:tcPr>
          <w:p w14:paraId="049A288B"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5 mg/day</w:t>
            </w:r>
          </w:p>
        </w:tc>
        <w:tc>
          <w:tcPr>
            <w:tcW w:w="960" w:type="dxa"/>
            <w:hideMark/>
          </w:tcPr>
          <w:p w14:paraId="291220E8"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-23%</w:t>
            </w:r>
          </w:p>
        </w:tc>
        <w:tc>
          <w:tcPr>
            <w:tcW w:w="960" w:type="dxa"/>
            <w:hideMark/>
          </w:tcPr>
          <w:p w14:paraId="378537E7"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w:t>
            </w:r>
          </w:p>
        </w:tc>
        <w:tc>
          <w:tcPr>
            <w:tcW w:w="960" w:type="dxa"/>
            <w:hideMark/>
          </w:tcPr>
          <w:p w14:paraId="0CBE67AC"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-18%</w:t>
            </w:r>
          </w:p>
        </w:tc>
        <w:tc>
          <w:tcPr>
            <w:tcW w:w="960" w:type="dxa"/>
            <w:hideMark/>
          </w:tcPr>
          <w:p w14:paraId="7F9BE149"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w:t>
            </w:r>
          </w:p>
        </w:tc>
      </w:tr>
      <w:tr w:rsidR="00470B6C" w:rsidRPr="001D2ADB" w14:paraId="503EBA6C" w14:textId="77777777" w:rsidTr="005F69B3">
        <w:trPr>
          <w:trHeight w:val="330"/>
        </w:trPr>
        <w:tc>
          <w:tcPr>
            <w:tcW w:w="2165" w:type="dxa"/>
            <w:hideMark/>
          </w:tcPr>
          <w:p w14:paraId="2554AB75" w14:textId="5245C15A"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Knipscheer, et al</w:t>
            </w:r>
            <w:r w:rsidR="00DF60EB" w:rsidRPr="001D2ADB">
              <w:rPr>
                <w:rFonts w:ascii="Arial" w:eastAsia="Times New Roman" w:hAnsi="Arial" w:cs="Arial"/>
                <w:color w:val="000000"/>
              </w:rPr>
              <w:t xml:space="preserve"> (27</w:t>
            </w:r>
            <w:r w:rsidR="00D94C68" w:rsidRPr="001D2ADB">
              <w:rPr>
                <w:rFonts w:ascii="Arial" w:eastAsia="Times New Roman" w:hAnsi="Arial" w:cs="Arial"/>
                <w:color w:val="000000"/>
              </w:rPr>
              <w:t>)</w:t>
            </w:r>
          </w:p>
        </w:tc>
        <w:tc>
          <w:tcPr>
            <w:tcW w:w="1540" w:type="dxa"/>
            <w:hideMark/>
          </w:tcPr>
          <w:p w14:paraId="3C426A57"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Pravastatin</w:t>
            </w:r>
          </w:p>
        </w:tc>
        <w:tc>
          <w:tcPr>
            <w:tcW w:w="1300" w:type="dxa"/>
            <w:hideMark/>
          </w:tcPr>
          <w:p w14:paraId="5AF66658"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10 mg/day</w:t>
            </w:r>
          </w:p>
        </w:tc>
        <w:tc>
          <w:tcPr>
            <w:tcW w:w="960" w:type="dxa"/>
            <w:hideMark/>
          </w:tcPr>
          <w:p w14:paraId="39C11689"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-24%</w:t>
            </w:r>
          </w:p>
        </w:tc>
        <w:tc>
          <w:tcPr>
            <w:tcW w:w="960" w:type="dxa"/>
            <w:hideMark/>
          </w:tcPr>
          <w:p w14:paraId="3F8A5412"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+6%</w:t>
            </w:r>
          </w:p>
        </w:tc>
        <w:tc>
          <w:tcPr>
            <w:tcW w:w="960" w:type="dxa"/>
            <w:hideMark/>
          </w:tcPr>
          <w:p w14:paraId="38C80943"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-17%</w:t>
            </w:r>
          </w:p>
        </w:tc>
        <w:tc>
          <w:tcPr>
            <w:tcW w:w="960" w:type="dxa"/>
            <w:hideMark/>
          </w:tcPr>
          <w:p w14:paraId="6D181732"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+7%</w:t>
            </w:r>
          </w:p>
        </w:tc>
      </w:tr>
      <w:tr w:rsidR="00470B6C" w:rsidRPr="001D2ADB" w14:paraId="172DD1C7" w14:textId="77777777" w:rsidTr="005F69B3">
        <w:trPr>
          <w:trHeight w:val="330"/>
        </w:trPr>
        <w:tc>
          <w:tcPr>
            <w:tcW w:w="2165" w:type="dxa"/>
            <w:hideMark/>
          </w:tcPr>
          <w:p w14:paraId="11829263" w14:textId="05881826"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Knipscheer, et al</w:t>
            </w:r>
            <w:r w:rsidR="00D94C68" w:rsidRPr="001D2ADB">
              <w:rPr>
                <w:rFonts w:ascii="Arial" w:eastAsia="Times New Roman" w:hAnsi="Arial" w:cs="Arial"/>
                <w:color w:val="000000"/>
              </w:rPr>
              <w:t xml:space="preserve"> (2</w:t>
            </w:r>
            <w:r w:rsidR="00DF60EB" w:rsidRPr="001D2ADB">
              <w:rPr>
                <w:rFonts w:ascii="Arial" w:eastAsia="Times New Roman" w:hAnsi="Arial" w:cs="Arial"/>
                <w:color w:val="000000"/>
              </w:rPr>
              <w:t>7)</w:t>
            </w:r>
          </w:p>
        </w:tc>
        <w:tc>
          <w:tcPr>
            <w:tcW w:w="1540" w:type="dxa"/>
            <w:hideMark/>
          </w:tcPr>
          <w:p w14:paraId="59368893"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Pravastatin</w:t>
            </w:r>
          </w:p>
        </w:tc>
        <w:tc>
          <w:tcPr>
            <w:tcW w:w="1300" w:type="dxa"/>
            <w:hideMark/>
          </w:tcPr>
          <w:p w14:paraId="1C225A7A"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20 mg/day</w:t>
            </w:r>
          </w:p>
        </w:tc>
        <w:tc>
          <w:tcPr>
            <w:tcW w:w="960" w:type="dxa"/>
            <w:hideMark/>
          </w:tcPr>
          <w:p w14:paraId="6CF5C373"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-33%</w:t>
            </w:r>
          </w:p>
        </w:tc>
        <w:tc>
          <w:tcPr>
            <w:tcW w:w="960" w:type="dxa"/>
            <w:hideMark/>
          </w:tcPr>
          <w:p w14:paraId="2B57F768"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+11%</w:t>
            </w:r>
          </w:p>
        </w:tc>
        <w:tc>
          <w:tcPr>
            <w:tcW w:w="960" w:type="dxa"/>
            <w:hideMark/>
          </w:tcPr>
          <w:p w14:paraId="68BB2885"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-25%</w:t>
            </w:r>
          </w:p>
        </w:tc>
        <w:tc>
          <w:tcPr>
            <w:tcW w:w="960" w:type="dxa"/>
            <w:hideMark/>
          </w:tcPr>
          <w:p w14:paraId="6F0E6B0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w:t>
            </w:r>
          </w:p>
        </w:tc>
      </w:tr>
      <w:tr w:rsidR="00470B6C" w:rsidRPr="001D2ADB" w14:paraId="73B6A3CD" w14:textId="77777777" w:rsidTr="005F69B3">
        <w:trPr>
          <w:trHeight w:val="495"/>
        </w:trPr>
        <w:tc>
          <w:tcPr>
            <w:tcW w:w="2165" w:type="dxa"/>
            <w:hideMark/>
          </w:tcPr>
          <w:p w14:paraId="53D5831A" w14:textId="2DF8D7A8"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Rodenburg, et al</w:t>
            </w:r>
            <w:r w:rsidR="00DF60EB" w:rsidRPr="001D2ADB">
              <w:rPr>
                <w:rFonts w:ascii="Arial" w:eastAsia="Times New Roman" w:hAnsi="Arial" w:cs="Arial"/>
                <w:color w:val="000000"/>
              </w:rPr>
              <w:t xml:space="preserve"> (29</w:t>
            </w:r>
            <w:r w:rsidR="00D94C68" w:rsidRPr="001D2ADB">
              <w:rPr>
                <w:rFonts w:ascii="Arial" w:eastAsia="Times New Roman" w:hAnsi="Arial" w:cs="Arial"/>
                <w:color w:val="000000"/>
              </w:rPr>
              <w:t>)</w:t>
            </w:r>
          </w:p>
        </w:tc>
        <w:tc>
          <w:tcPr>
            <w:tcW w:w="1540" w:type="dxa"/>
            <w:hideMark/>
          </w:tcPr>
          <w:p w14:paraId="4113650C"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Pravastatin</w:t>
            </w:r>
          </w:p>
        </w:tc>
        <w:tc>
          <w:tcPr>
            <w:tcW w:w="1300" w:type="dxa"/>
            <w:hideMark/>
          </w:tcPr>
          <w:p w14:paraId="201846B7"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20 mg/day or 40 mg/day</w:t>
            </w:r>
          </w:p>
        </w:tc>
        <w:tc>
          <w:tcPr>
            <w:tcW w:w="960" w:type="dxa"/>
            <w:hideMark/>
          </w:tcPr>
          <w:p w14:paraId="5E5DADA6"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-29%</w:t>
            </w:r>
          </w:p>
        </w:tc>
        <w:tc>
          <w:tcPr>
            <w:tcW w:w="960" w:type="dxa"/>
            <w:hideMark/>
          </w:tcPr>
          <w:p w14:paraId="4ADBAAF8"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w:t>
            </w:r>
          </w:p>
        </w:tc>
        <w:tc>
          <w:tcPr>
            <w:tcW w:w="960" w:type="dxa"/>
            <w:hideMark/>
          </w:tcPr>
          <w:p w14:paraId="683ADAFC"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-23%</w:t>
            </w:r>
          </w:p>
        </w:tc>
        <w:tc>
          <w:tcPr>
            <w:tcW w:w="960" w:type="dxa"/>
            <w:hideMark/>
          </w:tcPr>
          <w:p w14:paraId="34EFEF28"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w:t>
            </w:r>
          </w:p>
        </w:tc>
      </w:tr>
      <w:tr w:rsidR="00470B6C" w:rsidRPr="001D2ADB" w14:paraId="24869D87" w14:textId="77777777" w:rsidTr="005F69B3">
        <w:trPr>
          <w:trHeight w:val="330"/>
        </w:trPr>
        <w:tc>
          <w:tcPr>
            <w:tcW w:w="2165" w:type="dxa"/>
            <w:hideMark/>
          </w:tcPr>
          <w:p w14:paraId="40B6DA3F" w14:textId="508ECCC4"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Wiegman, et al</w:t>
            </w:r>
            <w:r w:rsidR="00D94C68" w:rsidRPr="001D2ADB">
              <w:rPr>
                <w:rFonts w:ascii="Arial" w:eastAsia="Times New Roman" w:hAnsi="Arial" w:cs="Arial"/>
                <w:color w:val="000000"/>
              </w:rPr>
              <w:t xml:space="preserve"> (2</w:t>
            </w:r>
            <w:r w:rsidR="00DF60EB" w:rsidRPr="001D2ADB">
              <w:rPr>
                <w:rFonts w:ascii="Arial" w:eastAsia="Times New Roman" w:hAnsi="Arial" w:cs="Arial"/>
                <w:color w:val="000000"/>
              </w:rPr>
              <w:t>8</w:t>
            </w:r>
            <w:r w:rsidR="00D94C68" w:rsidRPr="001D2ADB">
              <w:rPr>
                <w:rFonts w:ascii="Arial" w:eastAsia="Times New Roman" w:hAnsi="Arial" w:cs="Arial"/>
                <w:color w:val="000000"/>
              </w:rPr>
              <w:t>)</w:t>
            </w:r>
          </w:p>
        </w:tc>
        <w:tc>
          <w:tcPr>
            <w:tcW w:w="1540" w:type="dxa"/>
            <w:hideMark/>
          </w:tcPr>
          <w:p w14:paraId="41DF7695"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Pravastatin</w:t>
            </w:r>
          </w:p>
        </w:tc>
        <w:tc>
          <w:tcPr>
            <w:tcW w:w="1300" w:type="dxa"/>
            <w:hideMark/>
          </w:tcPr>
          <w:p w14:paraId="34D507D9"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20-40 mg/day</w:t>
            </w:r>
          </w:p>
        </w:tc>
        <w:tc>
          <w:tcPr>
            <w:tcW w:w="960" w:type="dxa"/>
            <w:hideMark/>
          </w:tcPr>
          <w:p w14:paraId="6B9AE1E0"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-24%</w:t>
            </w:r>
          </w:p>
        </w:tc>
        <w:tc>
          <w:tcPr>
            <w:tcW w:w="960" w:type="dxa"/>
            <w:hideMark/>
          </w:tcPr>
          <w:p w14:paraId="2FD84A9C"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+6%</w:t>
            </w:r>
          </w:p>
        </w:tc>
        <w:tc>
          <w:tcPr>
            <w:tcW w:w="960" w:type="dxa"/>
            <w:hideMark/>
          </w:tcPr>
          <w:p w14:paraId="17B2FC72"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-19%</w:t>
            </w:r>
          </w:p>
        </w:tc>
        <w:tc>
          <w:tcPr>
            <w:tcW w:w="960" w:type="dxa"/>
            <w:hideMark/>
          </w:tcPr>
          <w:p w14:paraId="488B569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-17%</w:t>
            </w:r>
          </w:p>
        </w:tc>
      </w:tr>
      <w:tr w:rsidR="00470B6C" w:rsidRPr="001D2ADB" w14:paraId="13AC4109" w14:textId="77777777" w:rsidTr="005F69B3">
        <w:trPr>
          <w:trHeight w:val="330"/>
        </w:trPr>
        <w:tc>
          <w:tcPr>
            <w:tcW w:w="2165" w:type="dxa"/>
            <w:hideMark/>
          </w:tcPr>
          <w:p w14:paraId="5B560B60" w14:textId="24B80A1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Avis, et al</w:t>
            </w:r>
            <w:r w:rsidR="00DF60EB" w:rsidRPr="001D2ADB">
              <w:rPr>
                <w:rFonts w:ascii="Arial" w:eastAsia="Times New Roman" w:hAnsi="Arial" w:cs="Arial"/>
                <w:color w:val="000000"/>
              </w:rPr>
              <w:t xml:space="preserve"> (30</w:t>
            </w:r>
            <w:r w:rsidR="00D94C68" w:rsidRPr="001D2ADB">
              <w:rPr>
                <w:rFonts w:ascii="Arial" w:eastAsia="Times New Roman" w:hAnsi="Arial" w:cs="Arial"/>
                <w:color w:val="000000"/>
              </w:rPr>
              <w:t>)</w:t>
            </w:r>
          </w:p>
        </w:tc>
        <w:tc>
          <w:tcPr>
            <w:tcW w:w="1540" w:type="dxa"/>
            <w:hideMark/>
          </w:tcPr>
          <w:p w14:paraId="0EFF38B8"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Rosuvastatin</w:t>
            </w:r>
          </w:p>
        </w:tc>
        <w:tc>
          <w:tcPr>
            <w:tcW w:w="1300" w:type="dxa"/>
            <w:hideMark/>
          </w:tcPr>
          <w:p w14:paraId="702FB253"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5 mg/day</w:t>
            </w:r>
          </w:p>
        </w:tc>
        <w:tc>
          <w:tcPr>
            <w:tcW w:w="960" w:type="dxa"/>
            <w:hideMark/>
          </w:tcPr>
          <w:p w14:paraId="70D8FEEE"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-38%</w:t>
            </w:r>
          </w:p>
        </w:tc>
        <w:tc>
          <w:tcPr>
            <w:tcW w:w="960" w:type="dxa"/>
            <w:hideMark/>
          </w:tcPr>
          <w:p w14:paraId="4FB8D623"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w:t>
            </w:r>
          </w:p>
        </w:tc>
        <w:tc>
          <w:tcPr>
            <w:tcW w:w="960" w:type="dxa"/>
            <w:hideMark/>
          </w:tcPr>
          <w:p w14:paraId="00FBE94A"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-30%</w:t>
            </w:r>
          </w:p>
        </w:tc>
        <w:tc>
          <w:tcPr>
            <w:tcW w:w="960" w:type="dxa"/>
            <w:hideMark/>
          </w:tcPr>
          <w:p w14:paraId="5B3176E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-13%</w:t>
            </w:r>
          </w:p>
        </w:tc>
      </w:tr>
      <w:tr w:rsidR="00470B6C" w:rsidRPr="001D2ADB" w14:paraId="5B701997" w14:textId="77777777" w:rsidTr="005F69B3">
        <w:trPr>
          <w:trHeight w:val="330"/>
        </w:trPr>
        <w:tc>
          <w:tcPr>
            <w:tcW w:w="2165" w:type="dxa"/>
            <w:hideMark/>
          </w:tcPr>
          <w:p w14:paraId="5247BA87" w14:textId="4E886BAA"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Avis, et al</w:t>
            </w:r>
            <w:r w:rsidR="00DF60EB" w:rsidRPr="001D2ADB">
              <w:rPr>
                <w:rFonts w:ascii="Arial" w:eastAsia="Times New Roman" w:hAnsi="Arial" w:cs="Arial"/>
                <w:color w:val="000000"/>
              </w:rPr>
              <w:t xml:space="preserve"> (30</w:t>
            </w:r>
            <w:r w:rsidR="00D94C68" w:rsidRPr="001D2ADB">
              <w:rPr>
                <w:rFonts w:ascii="Arial" w:eastAsia="Times New Roman" w:hAnsi="Arial" w:cs="Arial"/>
                <w:color w:val="000000"/>
              </w:rPr>
              <w:t>)</w:t>
            </w:r>
          </w:p>
        </w:tc>
        <w:tc>
          <w:tcPr>
            <w:tcW w:w="1540" w:type="dxa"/>
            <w:hideMark/>
          </w:tcPr>
          <w:p w14:paraId="24CBB917"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Rosuvastatin</w:t>
            </w:r>
          </w:p>
        </w:tc>
        <w:tc>
          <w:tcPr>
            <w:tcW w:w="1300" w:type="dxa"/>
            <w:hideMark/>
          </w:tcPr>
          <w:p w14:paraId="36887E59"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10 mg/day</w:t>
            </w:r>
          </w:p>
        </w:tc>
        <w:tc>
          <w:tcPr>
            <w:tcW w:w="960" w:type="dxa"/>
            <w:hideMark/>
          </w:tcPr>
          <w:p w14:paraId="2D63F1C0"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-45%</w:t>
            </w:r>
          </w:p>
        </w:tc>
        <w:tc>
          <w:tcPr>
            <w:tcW w:w="960" w:type="dxa"/>
            <w:hideMark/>
          </w:tcPr>
          <w:p w14:paraId="6E3E2F49"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+10%</w:t>
            </w:r>
          </w:p>
        </w:tc>
        <w:tc>
          <w:tcPr>
            <w:tcW w:w="960" w:type="dxa"/>
            <w:hideMark/>
          </w:tcPr>
          <w:p w14:paraId="62A8E9DF"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-34%</w:t>
            </w:r>
          </w:p>
        </w:tc>
        <w:tc>
          <w:tcPr>
            <w:tcW w:w="960" w:type="dxa"/>
            <w:hideMark/>
          </w:tcPr>
          <w:p w14:paraId="0520EEA6"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-15%</w:t>
            </w:r>
          </w:p>
        </w:tc>
      </w:tr>
      <w:tr w:rsidR="00470B6C" w:rsidRPr="001D2ADB" w14:paraId="317BE9EB" w14:textId="77777777" w:rsidTr="005F69B3">
        <w:trPr>
          <w:trHeight w:val="330"/>
        </w:trPr>
        <w:tc>
          <w:tcPr>
            <w:tcW w:w="2165" w:type="dxa"/>
            <w:hideMark/>
          </w:tcPr>
          <w:p w14:paraId="7692940A" w14:textId="61CBE0B4"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Avis, et al</w:t>
            </w:r>
            <w:r w:rsidR="00DF60EB" w:rsidRPr="001D2ADB">
              <w:rPr>
                <w:rFonts w:ascii="Arial" w:eastAsia="Times New Roman" w:hAnsi="Arial" w:cs="Arial"/>
                <w:color w:val="000000"/>
              </w:rPr>
              <w:t xml:space="preserve"> (30</w:t>
            </w:r>
            <w:r w:rsidR="00D94C68" w:rsidRPr="001D2ADB">
              <w:rPr>
                <w:rFonts w:ascii="Arial" w:eastAsia="Times New Roman" w:hAnsi="Arial" w:cs="Arial"/>
                <w:color w:val="000000"/>
              </w:rPr>
              <w:t>)</w:t>
            </w:r>
          </w:p>
        </w:tc>
        <w:tc>
          <w:tcPr>
            <w:tcW w:w="1540" w:type="dxa"/>
            <w:hideMark/>
          </w:tcPr>
          <w:p w14:paraId="704629D5"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Rosuvastatin</w:t>
            </w:r>
          </w:p>
        </w:tc>
        <w:tc>
          <w:tcPr>
            <w:tcW w:w="1300" w:type="dxa"/>
            <w:hideMark/>
          </w:tcPr>
          <w:p w14:paraId="4EBFC74A"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20 mg/day</w:t>
            </w:r>
          </w:p>
        </w:tc>
        <w:tc>
          <w:tcPr>
            <w:tcW w:w="960" w:type="dxa"/>
            <w:hideMark/>
          </w:tcPr>
          <w:p w14:paraId="2E4D45EA"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-50%</w:t>
            </w:r>
          </w:p>
        </w:tc>
        <w:tc>
          <w:tcPr>
            <w:tcW w:w="960" w:type="dxa"/>
            <w:hideMark/>
          </w:tcPr>
          <w:p w14:paraId="657FE84A"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+9%</w:t>
            </w:r>
          </w:p>
        </w:tc>
        <w:tc>
          <w:tcPr>
            <w:tcW w:w="960" w:type="dxa"/>
            <w:hideMark/>
          </w:tcPr>
          <w:p w14:paraId="76FF4741"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-39%</w:t>
            </w:r>
          </w:p>
        </w:tc>
        <w:tc>
          <w:tcPr>
            <w:tcW w:w="960" w:type="dxa"/>
            <w:hideMark/>
          </w:tcPr>
          <w:p w14:paraId="3A5D89CA"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-16%</w:t>
            </w:r>
          </w:p>
        </w:tc>
      </w:tr>
      <w:tr w:rsidR="00470B6C" w:rsidRPr="001D2ADB" w14:paraId="5850DFD0" w14:textId="77777777" w:rsidTr="005F69B3">
        <w:trPr>
          <w:trHeight w:val="330"/>
        </w:trPr>
        <w:tc>
          <w:tcPr>
            <w:tcW w:w="2165" w:type="dxa"/>
            <w:hideMark/>
          </w:tcPr>
          <w:p w14:paraId="79C9A68C" w14:textId="3FCEAA19"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de Jongh, et al</w:t>
            </w:r>
            <w:r w:rsidR="00DF60EB" w:rsidRPr="001D2ADB">
              <w:rPr>
                <w:rFonts w:ascii="Arial" w:eastAsia="Times New Roman" w:hAnsi="Arial" w:cs="Arial"/>
                <w:color w:val="000000"/>
              </w:rPr>
              <w:t xml:space="preserve"> (31</w:t>
            </w:r>
            <w:r w:rsidR="00D94C68" w:rsidRPr="001D2ADB">
              <w:rPr>
                <w:rFonts w:ascii="Arial" w:eastAsia="Times New Roman" w:hAnsi="Arial" w:cs="Arial"/>
                <w:color w:val="000000"/>
              </w:rPr>
              <w:t>)</w:t>
            </w:r>
          </w:p>
        </w:tc>
        <w:tc>
          <w:tcPr>
            <w:tcW w:w="1540" w:type="dxa"/>
            <w:hideMark/>
          </w:tcPr>
          <w:p w14:paraId="48074251"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Simvastatin</w:t>
            </w:r>
          </w:p>
        </w:tc>
        <w:tc>
          <w:tcPr>
            <w:tcW w:w="1300" w:type="dxa"/>
            <w:hideMark/>
          </w:tcPr>
          <w:p w14:paraId="59880833"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10-40 mg/day</w:t>
            </w:r>
          </w:p>
        </w:tc>
        <w:tc>
          <w:tcPr>
            <w:tcW w:w="960" w:type="dxa"/>
            <w:hideMark/>
          </w:tcPr>
          <w:p w14:paraId="52AF6026"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-41%</w:t>
            </w:r>
          </w:p>
        </w:tc>
        <w:tc>
          <w:tcPr>
            <w:tcW w:w="960" w:type="dxa"/>
            <w:hideMark/>
          </w:tcPr>
          <w:p w14:paraId="2D08608E"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w:t>
            </w:r>
          </w:p>
        </w:tc>
        <w:tc>
          <w:tcPr>
            <w:tcW w:w="960" w:type="dxa"/>
            <w:hideMark/>
          </w:tcPr>
          <w:p w14:paraId="356CFDC1"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-31%</w:t>
            </w:r>
          </w:p>
        </w:tc>
        <w:tc>
          <w:tcPr>
            <w:tcW w:w="960" w:type="dxa"/>
            <w:hideMark/>
          </w:tcPr>
          <w:p w14:paraId="314FAA9C"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-9%</w:t>
            </w:r>
          </w:p>
        </w:tc>
      </w:tr>
      <w:tr w:rsidR="00470B6C" w:rsidRPr="001D2ADB" w14:paraId="083825C4" w14:textId="77777777" w:rsidTr="005F69B3">
        <w:trPr>
          <w:trHeight w:val="330"/>
        </w:trPr>
        <w:tc>
          <w:tcPr>
            <w:tcW w:w="2165" w:type="dxa"/>
            <w:hideMark/>
          </w:tcPr>
          <w:p w14:paraId="31A710CB" w14:textId="5E650EE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de Jongh, et al</w:t>
            </w:r>
            <w:r w:rsidR="00DF60EB" w:rsidRPr="001D2ADB">
              <w:rPr>
                <w:rFonts w:ascii="Arial" w:eastAsia="Times New Roman" w:hAnsi="Arial" w:cs="Arial"/>
                <w:color w:val="000000"/>
              </w:rPr>
              <w:t xml:space="preserve"> (32</w:t>
            </w:r>
            <w:r w:rsidR="00D94C68" w:rsidRPr="001D2ADB">
              <w:rPr>
                <w:rFonts w:ascii="Arial" w:eastAsia="Times New Roman" w:hAnsi="Arial" w:cs="Arial"/>
                <w:color w:val="000000"/>
              </w:rPr>
              <w:t>)</w:t>
            </w:r>
          </w:p>
        </w:tc>
        <w:tc>
          <w:tcPr>
            <w:tcW w:w="1540" w:type="dxa"/>
            <w:hideMark/>
          </w:tcPr>
          <w:p w14:paraId="713C1A9A"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Simvastatin</w:t>
            </w:r>
          </w:p>
        </w:tc>
        <w:tc>
          <w:tcPr>
            <w:tcW w:w="1300" w:type="dxa"/>
            <w:hideMark/>
          </w:tcPr>
          <w:p w14:paraId="29D58480"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40 mg/day</w:t>
            </w:r>
          </w:p>
        </w:tc>
        <w:tc>
          <w:tcPr>
            <w:tcW w:w="960" w:type="dxa"/>
            <w:hideMark/>
          </w:tcPr>
          <w:p w14:paraId="7F48F465"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-40%</w:t>
            </w:r>
          </w:p>
        </w:tc>
        <w:tc>
          <w:tcPr>
            <w:tcW w:w="960" w:type="dxa"/>
            <w:hideMark/>
          </w:tcPr>
          <w:p w14:paraId="2CD4B4FD"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+5%</w:t>
            </w:r>
          </w:p>
        </w:tc>
        <w:tc>
          <w:tcPr>
            <w:tcW w:w="960" w:type="dxa"/>
            <w:hideMark/>
          </w:tcPr>
          <w:p w14:paraId="77300FC5"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-30%</w:t>
            </w:r>
          </w:p>
        </w:tc>
        <w:tc>
          <w:tcPr>
            <w:tcW w:w="960" w:type="dxa"/>
            <w:hideMark/>
          </w:tcPr>
          <w:p w14:paraId="09D9EBCF" w14:textId="77777777" w:rsidR="00470B6C" w:rsidRPr="001D2ADB" w:rsidRDefault="00470B6C" w:rsidP="001D2ADB">
            <w:pPr>
              <w:spacing w:after="0"/>
              <w:rPr>
                <w:rFonts w:ascii="Arial" w:eastAsia="Times New Roman" w:hAnsi="Arial" w:cs="Arial"/>
                <w:color w:val="000000"/>
              </w:rPr>
            </w:pPr>
            <w:r w:rsidRPr="001D2ADB">
              <w:rPr>
                <w:rFonts w:ascii="Arial" w:eastAsia="Times New Roman" w:hAnsi="Arial" w:cs="Arial"/>
                <w:color w:val="000000"/>
              </w:rPr>
              <w:t>-17%</w:t>
            </w:r>
          </w:p>
        </w:tc>
      </w:tr>
    </w:tbl>
    <w:p w14:paraId="6D0D8134" w14:textId="2C1C7D12" w:rsidR="00470B6C" w:rsidRPr="001D2ADB" w:rsidRDefault="00470B6C" w:rsidP="001D2ADB">
      <w:pPr>
        <w:spacing w:after="0"/>
        <w:rPr>
          <w:rFonts w:ascii="Arial" w:hAnsi="Arial" w:cs="Arial"/>
        </w:rPr>
      </w:pPr>
      <w:r w:rsidRPr="001D2ADB">
        <w:rPr>
          <w:rFonts w:ascii="Arial" w:hAnsi="Arial" w:cs="Arial"/>
        </w:rPr>
        <w:t>Adapted from National Heart Lung and Blood Institute (NHLBI): Expert Panel on Integrated Guidelines for Cardiovascular Health and Risk Reduction in Children and Adolescents: Summary Report.  Pediatrics.  2011;128(S5</w:t>
      </w:r>
      <w:proofErr w:type="gramStart"/>
      <w:r w:rsidRPr="001D2ADB">
        <w:rPr>
          <w:rFonts w:ascii="Arial" w:hAnsi="Arial" w:cs="Arial"/>
        </w:rPr>
        <w:t>):S</w:t>
      </w:r>
      <w:proofErr w:type="gramEnd"/>
      <w:r w:rsidRPr="001D2ADB">
        <w:rPr>
          <w:rFonts w:ascii="Arial" w:hAnsi="Arial" w:cs="Arial"/>
        </w:rPr>
        <w:t>213-S256: Table 9-11.</w:t>
      </w:r>
      <w:r w:rsidRPr="001D2ADB">
        <w:rPr>
          <w:rFonts w:ascii="Arial" w:hAnsi="Arial" w:cs="Arial"/>
        </w:rPr>
        <w:br/>
        <w:t>Abbreviations: mg=milligrams, LDL-C=low density lipoprotein cholesterol, HDL-C=high density lipoprotein cholesterol, TC=total cholesterol, TG=triglycerides</w:t>
      </w:r>
      <w:r w:rsidR="00C2798A">
        <w:rPr>
          <w:rFonts w:ascii="Arial" w:hAnsi="Arial" w:cs="Arial"/>
        </w:rPr>
        <w:t>.</w:t>
      </w:r>
    </w:p>
    <w:p w14:paraId="3A22A027" w14:textId="77777777" w:rsidR="00470B6C" w:rsidRPr="001D2ADB" w:rsidRDefault="00470B6C" w:rsidP="001D2ADB">
      <w:pPr>
        <w:spacing w:after="0"/>
        <w:rPr>
          <w:rFonts w:ascii="Arial" w:hAnsi="Arial" w:cs="Arial"/>
        </w:rPr>
      </w:pPr>
    </w:p>
    <w:p w14:paraId="4663E272" w14:textId="4ACCF8BC" w:rsidR="00E27F5C" w:rsidRPr="001D2ADB" w:rsidRDefault="008A6124" w:rsidP="001D2ADB">
      <w:pPr>
        <w:spacing w:after="0"/>
        <w:rPr>
          <w:rFonts w:ascii="Arial" w:hAnsi="Arial" w:cs="Arial"/>
        </w:rPr>
      </w:pPr>
      <w:r w:rsidRPr="001D2ADB">
        <w:rPr>
          <w:rFonts w:ascii="Arial" w:hAnsi="Arial" w:cs="Arial"/>
        </w:rPr>
        <w:t>Although long term studie</w:t>
      </w:r>
      <w:r w:rsidR="00245556" w:rsidRPr="001D2ADB">
        <w:rPr>
          <w:rFonts w:ascii="Arial" w:hAnsi="Arial" w:cs="Arial"/>
        </w:rPr>
        <w:t>s evaluating the safety and effi</w:t>
      </w:r>
      <w:r w:rsidRPr="001D2ADB">
        <w:rPr>
          <w:rFonts w:ascii="Arial" w:hAnsi="Arial" w:cs="Arial"/>
        </w:rPr>
        <w:t xml:space="preserve">cacy </w:t>
      </w:r>
      <w:r w:rsidR="008C56AB" w:rsidRPr="001D2ADB">
        <w:rPr>
          <w:rFonts w:ascii="Arial" w:hAnsi="Arial" w:cs="Arial"/>
        </w:rPr>
        <w:t>of lipid</w:t>
      </w:r>
      <w:r w:rsidR="00245556" w:rsidRPr="001D2ADB">
        <w:rPr>
          <w:rFonts w:ascii="Arial" w:hAnsi="Arial" w:cs="Arial"/>
        </w:rPr>
        <w:t>-</w:t>
      </w:r>
      <w:r w:rsidRPr="001D2ADB">
        <w:rPr>
          <w:rFonts w:ascii="Arial" w:hAnsi="Arial" w:cs="Arial"/>
        </w:rPr>
        <w:t>lowering medications in youth are lacking, results of short term observational and ra</w:t>
      </w:r>
      <w:r w:rsidR="00245556" w:rsidRPr="001D2ADB">
        <w:rPr>
          <w:rFonts w:ascii="Arial" w:hAnsi="Arial" w:cs="Arial"/>
        </w:rPr>
        <w:t>n</w:t>
      </w:r>
      <w:r w:rsidRPr="001D2ADB">
        <w:rPr>
          <w:rFonts w:ascii="Arial" w:hAnsi="Arial" w:cs="Arial"/>
        </w:rPr>
        <w:t>domi</w:t>
      </w:r>
      <w:r w:rsidR="00245556" w:rsidRPr="001D2ADB">
        <w:rPr>
          <w:rFonts w:ascii="Arial" w:hAnsi="Arial" w:cs="Arial"/>
        </w:rPr>
        <w:t>z</w:t>
      </w:r>
      <w:r w:rsidRPr="001D2ADB">
        <w:rPr>
          <w:rFonts w:ascii="Arial" w:hAnsi="Arial" w:cs="Arial"/>
        </w:rPr>
        <w:t>ed controlled trials are encouraging.  For example, a</w:t>
      </w:r>
      <w:r w:rsidR="00375B2B" w:rsidRPr="001D2ADB">
        <w:rPr>
          <w:rFonts w:ascii="Arial" w:hAnsi="Arial" w:cs="Arial"/>
        </w:rPr>
        <w:t xml:space="preserve">torvastatin </w:t>
      </w:r>
      <w:r w:rsidRPr="001D2ADB">
        <w:rPr>
          <w:rFonts w:ascii="Arial" w:hAnsi="Arial" w:cs="Arial"/>
        </w:rPr>
        <w:t>was found to be well</w:t>
      </w:r>
      <w:r w:rsidR="00375B2B" w:rsidRPr="001D2ADB">
        <w:rPr>
          <w:rFonts w:ascii="Arial" w:hAnsi="Arial" w:cs="Arial"/>
        </w:rPr>
        <w:t xml:space="preserve"> tolerated with no statistically significant differences in adverse events reported for either the treatment or placebo groups</w:t>
      </w:r>
      <w:r w:rsidR="00AC3121" w:rsidRPr="001D2ADB">
        <w:rPr>
          <w:rFonts w:ascii="Arial" w:hAnsi="Arial" w:cs="Arial"/>
        </w:rPr>
        <w:t xml:space="preserve"> (22</w:t>
      </w:r>
      <w:r w:rsidR="00D94C68" w:rsidRPr="001D2ADB">
        <w:rPr>
          <w:rFonts w:ascii="Arial" w:hAnsi="Arial" w:cs="Arial"/>
        </w:rPr>
        <w:t>)</w:t>
      </w:r>
      <w:r w:rsidR="00375B2B" w:rsidRPr="001D2ADB">
        <w:rPr>
          <w:rFonts w:ascii="Arial" w:hAnsi="Arial" w:cs="Arial"/>
        </w:rPr>
        <w:t>.</w:t>
      </w:r>
      <w:r w:rsidR="006A6C95" w:rsidRPr="001D2ADB">
        <w:rPr>
          <w:rFonts w:ascii="Arial" w:hAnsi="Arial" w:cs="Arial"/>
        </w:rPr>
        <w:t xml:space="preserve"> Additionally</w:t>
      </w:r>
      <w:r w:rsidR="00375B2B" w:rsidRPr="001D2ADB">
        <w:rPr>
          <w:rFonts w:ascii="Arial" w:hAnsi="Arial" w:cs="Arial"/>
        </w:rPr>
        <w:t>, the percentage of patients with abnormal</w:t>
      </w:r>
      <w:r w:rsidRPr="001D2ADB">
        <w:rPr>
          <w:rFonts w:ascii="Arial" w:hAnsi="Arial" w:cs="Arial"/>
        </w:rPr>
        <w:t xml:space="preserve"> </w:t>
      </w:r>
      <w:r w:rsidR="00375B2B" w:rsidRPr="001D2ADB">
        <w:rPr>
          <w:rFonts w:ascii="Arial" w:hAnsi="Arial" w:cs="Arial"/>
        </w:rPr>
        <w:t xml:space="preserve">laboratory </w:t>
      </w:r>
      <w:r w:rsidRPr="001D2ADB">
        <w:rPr>
          <w:rFonts w:ascii="Arial" w:hAnsi="Arial" w:cs="Arial"/>
        </w:rPr>
        <w:t>result</w:t>
      </w:r>
      <w:r w:rsidR="00A96E93" w:rsidRPr="001D2ADB">
        <w:rPr>
          <w:rFonts w:ascii="Arial" w:hAnsi="Arial" w:cs="Arial"/>
        </w:rPr>
        <w:t xml:space="preserve">s was similar </w:t>
      </w:r>
      <w:r w:rsidR="00375B2B" w:rsidRPr="001D2ADB">
        <w:rPr>
          <w:rFonts w:ascii="Arial" w:hAnsi="Arial" w:cs="Arial"/>
        </w:rPr>
        <w:t xml:space="preserve">for </w:t>
      </w:r>
      <w:r w:rsidR="00A96E93" w:rsidRPr="001D2ADB">
        <w:rPr>
          <w:rFonts w:ascii="Arial" w:hAnsi="Arial" w:cs="Arial"/>
        </w:rPr>
        <w:t xml:space="preserve">both </w:t>
      </w:r>
      <w:r w:rsidR="00375B2B" w:rsidRPr="001D2ADB">
        <w:rPr>
          <w:rFonts w:ascii="Arial" w:hAnsi="Arial" w:cs="Arial"/>
        </w:rPr>
        <w:t xml:space="preserve">groups; the only </w:t>
      </w:r>
      <w:r w:rsidRPr="001D2ADB">
        <w:rPr>
          <w:rFonts w:ascii="Arial" w:hAnsi="Arial" w:cs="Arial"/>
        </w:rPr>
        <w:t xml:space="preserve">noted difference </w:t>
      </w:r>
      <w:r w:rsidR="00375B2B" w:rsidRPr="001D2ADB">
        <w:rPr>
          <w:rFonts w:ascii="Arial" w:hAnsi="Arial" w:cs="Arial"/>
        </w:rPr>
        <w:t xml:space="preserve">was an increased percentage of patients with elevated triglycerides in the placebo group. </w:t>
      </w:r>
      <w:r w:rsidRPr="001D2ADB">
        <w:rPr>
          <w:rFonts w:ascii="Arial" w:hAnsi="Arial" w:cs="Arial"/>
        </w:rPr>
        <w:t>T</w:t>
      </w:r>
      <w:r w:rsidR="00375B2B" w:rsidRPr="001D2ADB">
        <w:rPr>
          <w:rFonts w:ascii="Arial" w:hAnsi="Arial" w:cs="Arial"/>
        </w:rPr>
        <w:t>reatment with atorvastatin resulted in no significant difference in sexual development as assessed by Tanner staging</w:t>
      </w:r>
      <w:r w:rsidR="00B5345D" w:rsidRPr="001D2ADB">
        <w:rPr>
          <w:rFonts w:ascii="Arial" w:hAnsi="Arial" w:cs="Arial"/>
          <w:color w:val="000000"/>
        </w:rPr>
        <w:t>.</w:t>
      </w:r>
      <w:r w:rsidR="00D94C68" w:rsidRPr="001D2ADB">
        <w:rPr>
          <w:rFonts w:ascii="Arial" w:hAnsi="Arial" w:cs="Arial"/>
          <w:color w:val="000000"/>
        </w:rPr>
        <w:t xml:space="preserve"> </w:t>
      </w:r>
      <w:r w:rsidRPr="001D2ADB">
        <w:rPr>
          <w:rFonts w:ascii="Arial" w:hAnsi="Arial" w:cs="Arial"/>
        </w:rPr>
        <w:t>V</w:t>
      </w:r>
      <w:r w:rsidR="00CD166B" w:rsidRPr="001D2ADB">
        <w:rPr>
          <w:rFonts w:ascii="Arial" w:hAnsi="Arial" w:cs="Arial"/>
        </w:rPr>
        <w:t>an der G</w:t>
      </w:r>
      <w:r w:rsidR="00A96E93" w:rsidRPr="001D2ADB">
        <w:rPr>
          <w:rFonts w:ascii="Arial" w:hAnsi="Arial" w:cs="Arial"/>
        </w:rPr>
        <w:t>raaf and colleagues found that in youth treated with fluvastatin</w:t>
      </w:r>
      <w:r w:rsidRPr="001D2ADB">
        <w:rPr>
          <w:rFonts w:ascii="Arial" w:hAnsi="Arial" w:cs="Arial"/>
        </w:rPr>
        <w:t xml:space="preserve">, </w:t>
      </w:r>
      <w:r w:rsidR="00375B2B" w:rsidRPr="001D2ADB">
        <w:rPr>
          <w:rFonts w:ascii="Arial" w:hAnsi="Arial" w:cs="Arial"/>
        </w:rPr>
        <w:t>58 (68.2%) report</w:t>
      </w:r>
      <w:r w:rsidRPr="001D2ADB">
        <w:rPr>
          <w:rFonts w:ascii="Arial" w:hAnsi="Arial" w:cs="Arial"/>
        </w:rPr>
        <w:t xml:space="preserve">ed non-serious adverse </w:t>
      </w:r>
      <w:r w:rsidRPr="001D2ADB">
        <w:rPr>
          <w:rFonts w:ascii="Arial" w:hAnsi="Arial" w:cs="Arial"/>
        </w:rPr>
        <w:lastRenderedPageBreak/>
        <w:t>events. O</w:t>
      </w:r>
      <w:r w:rsidR="00375B2B" w:rsidRPr="001D2ADB">
        <w:rPr>
          <w:rFonts w:ascii="Arial" w:hAnsi="Arial" w:cs="Arial"/>
        </w:rPr>
        <w:t>nly four were believed to be drug related</w:t>
      </w:r>
      <w:r w:rsidRPr="001D2ADB">
        <w:rPr>
          <w:rFonts w:ascii="Arial" w:hAnsi="Arial" w:cs="Arial"/>
        </w:rPr>
        <w:t>. T</w:t>
      </w:r>
      <w:r w:rsidR="00375B2B" w:rsidRPr="001D2ADB">
        <w:rPr>
          <w:rFonts w:ascii="Arial" w:hAnsi="Arial" w:cs="Arial"/>
        </w:rPr>
        <w:t>reatment with fluv</w:t>
      </w:r>
      <w:r w:rsidRPr="001D2ADB">
        <w:rPr>
          <w:rFonts w:ascii="Arial" w:hAnsi="Arial" w:cs="Arial"/>
        </w:rPr>
        <w:t xml:space="preserve">astatin resulted in no abnormalities in </w:t>
      </w:r>
      <w:r w:rsidR="00375B2B" w:rsidRPr="001D2ADB">
        <w:rPr>
          <w:rFonts w:ascii="Arial" w:hAnsi="Arial" w:cs="Arial"/>
        </w:rPr>
        <w:t>hormone levels or sexual maturation</w:t>
      </w:r>
      <w:r w:rsidR="00AC3121" w:rsidRPr="001D2ADB">
        <w:rPr>
          <w:rFonts w:ascii="Arial" w:hAnsi="Arial" w:cs="Arial"/>
        </w:rPr>
        <w:t xml:space="preserve"> (23</w:t>
      </w:r>
      <w:r w:rsidR="00D94C68" w:rsidRPr="001D2ADB">
        <w:rPr>
          <w:rFonts w:ascii="Arial" w:hAnsi="Arial" w:cs="Arial"/>
        </w:rPr>
        <w:t>)</w:t>
      </w:r>
      <w:r w:rsidR="00375B2B" w:rsidRPr="001D2ADB">
        <w:rPr>
          <w:rFonts w:ascii="Arial" w:hAnsi="Arial" w:cs="Arial"/>
        </w:rPr>
        <w:t xml:space="preserve">.  </w:t>
      </w:r>
    </w:p>
    <w:p w14:paraId="1E699457" w14:textId="77777777" w:rsidR="00474DCD" w:rsidRPr="001D2ADB" w:rsidRDefault="00474DCD" w:rsidP="001D2ADB">
      <w:pPr>
        <w:spacing w:after="0"/>
        <w:rPr>
          <w:rFonts w:ascii="Arial" w:hAnsi="Arial" w:cs="Arial"/>
        </w:rPr>
      </w:pPr>
    </w:p>
    <w:p w14:paraId="00F2F6D3" w14:textId="34CF704B" w:rsidR="00E27F5C" w:rsidRPr="001D2ADB" w:rsidRDefault="00CD166B" w:rsidP="001D2ADB">
      <w:pPr>
        <w:spacing w:after="0"/>
        <w:rPr>
          <w:rFonts w:ascii="Arial" w:hAnsi="Arial" w:cs="Arial"/>
        </w:rPr>
      </w:pPr>
      <w:r w:rsidRPr="001D2ADB">
        <w:rPr>
          <w:rFonts w:ascii="Arial" w:hAnsi="Arial" w:cs="Arial"/>
        </w:rPr>
        <w:t>In their study of lovastatin, Clauss and colleagues</w:t>
      </w:r>
      <w:r w:rsidR="00375B2B" w:rsidRPr="001D2ADB">
        <w:rPr>
          <w:rFonts w:ascii="Arial" w:hAnsi="Arial" w:cs="Arial"/>
        </w:rPr>
        <w:t xml:space="preserve"> reported no </w:t>
      </w:r>
      <w:r w:rsidR="00B126FD" w:rsidRPr="001D2ADB">
        <w:rPr>
          <w:rFonts w:ascii="Arial" w:hAnsi="Arial" w:cs="Arial"/>
        </w:rPr>
        <w:t>clinically significant</w:t>
      </w:r>
      <w:r w:rsidR="00375B2B" w:rsidRPr="001D2ADB">
        <w:rPr>
          <w:rFonts w:ascii="Arial" w:hAnsi="Arial" w:cs="Arial"/>
        </w:rPr>
        <w:t xml:space="preserve"> alterations in vital signs; growth; hormone levels including luteinizing hormone, follicle-stimulating hormone, dehydroepiandosterone sulfate, estradiol, and cortisol; menstrual cycle length; liver function tests; </w:t>
      </w:r>
      <w:r w:rsidR="00A96E93" w:rsidRPr="001D2ADB">
        <w:rPr>
          <w:rFonts w:ascii="Arial" w:hAnsi="Arial" w:cs="Arial"/>
        </w:rPr>
        <w:t>or</w:t>
      </w:r>
      <w:r w:rsidR="00375B2B" w:rsidRPr="001D2ADB">
        <w:rPr>
          <w:rFonts w:ascii="Arial" w:hAnsi="Arial" w:cs="Arial"/>
        </w:rPr>
        <w:t xml:space="preserve"> muscle function tests</w:t>
      </w:r>
      <w:r w:rsidR="00AC3121" w:rsidRPr="001D2ADB">
        <w:rPr>
          <w:rFonts w:ascii="Arial" w:hAnsi="Arial" w:cs="Arial"/>
        </w:rPr>
        <w:t xml:space="preserve"> (24)</w:t>
      </w:r>
      <w:r w:rsidR="00375B2B" w:rsidRPr="001D2ADB">
        <w:rPr>
          <w:rFonts w:ascii="Arial" w:hAnsi="Arial" w:cs="Arial"/>
        </w:rPr>
        <w:t xml:space="preserve">. </w:t>
      </w:r>
      <w:r w:rsidR="00CB112C" w:rsidRPr="001D2ADB">
        <w:rPr>
          <w:rFonts w:ascii="Arial" w:hAnsi="Arial" w:cs="Arial"/>
        </w:rPr>
        <w:t xml:space="preserve">Lambert and </w:t>
      </w:r>
      <w:r w:rsidR="00A32A3E" w:rsidRPr="001D2ADB">
        <w:rPr>
          <w:rFonts w:ascii="Arial" w:hAnsi="Arial" w:cs="Arial"/>
        </w:rPr>
        <w:t>colleagues</w:t>
      </w:r>
      <w:r w:rsidR="00CB112C" w:rsidRPr="001D2ADB">
        <w:rPr>
          <w:rFonts w:ascii="Arial" w:hAnsi="Arial" w:cs="Arial"/>
        </w:rPr>
        <w:t xml:space="preserve"> </w:t>
      </w:r>
      <w:r w:rsidR="006B7897" w:rsidRPr="001D2ADB">
        <w:rPr>
          <w:rFonts w:ascii="Arial" w:hAnsi="Arial" w:cs="Arial"/>
        </w:rPr>
        <w:t xml:space="preserve">also </w:t>
      </w:r>
      <w:r w:rsidR="00CB112C" w:rsidRPr="001D2ADB">
        <w:rPr>
          <w:rFonts w:ascii="Arial" w:hAnsi="Arial" w:cs="Arial"/>
        </w:rPr>
        <w:t>found</w:t>
      </w:r>
      <w:r w:rsidR="00375B2B" w:rsidRPr="001D2ADB">
        <w:rPr>
          <w:rFonts w:ascii="Arial" w:hAnsi="Arial" w:cs="Arial"/>
        </w:rPr>
        <w:t xml:space="preserve"> lovastatin </w:t>
      </w:r>
      <w:r w:rsidR="00CB112C" w:rsidRPr="001D2ADB">
        <w:rPr>
          <w:rFonts w:ascii="Arial" w:hAnsi="Arial" w:cs="Arial"/>
        </w:rPr>
        <w:t xml:space="preserve">generally </w:t>
      </w:r>
      <w:r w:rsidR="00375B2B" w:rsidRPr="001D2ADB">
        <w:rPr>
          <w:rFonts w:ascii="Arial" w:hAnsi="Arial" w:cs="Arial"/>
        </w:rPr>
        <w:t>well tolerated with no serious clinical adverse effects noted</w:t>
      </w:r>
      <w:r w:rsidR="00D94C68" w:rsidRPr="001D2ADB">
        <w:rPr>
          <w:rFonts w:ascii="Arial" w:hAnsi="Arial" w:cs="Arial"/>
        </w:rPr>
        <w:t xml:space="preserve"> (2</w:t>
      </w:r>
      <w:r w:rsidR="00AC3121" w:rsidRPr="001D2ADB">
        <w:rPr>
          <w:rFonts w:ascii="Arial" w:hAnsi="Arial" w:cs="Arial"/>
        </w:rPr>
        <w:t>5</w:t>
      </w:r>
      <w:r w:rsidR="00D94C68" w:rsidRPr="001D2ADB">
        <w:rPr>
          <w:rFonts w:ascii="Arial" w:hAnsi="Arial" w:cs="Arial"/>
        </w:rPr>
        <w:t>)</w:t>
      </w:r>
      <w:r w:rsidR="00375B2B" w:rsidRPr="001D2ADB">
        <w:rPr>
          <w:rFonts w:ascii="Arial" w:hAnsi="Arial" w:cs="Arial"/>
        </w:rPr>
        <w:t>.</w:t>
      </w:r>
      <w:r w:rsidR="00A96E93" w:rsidRPr="001D2ADB">
        <w:rPr>
          <w:rFonts w:ascii="Arial" w:hAnsi="Arial" w:cs="Arial"/>
        </w:rPr>
        <w:t xml:space="preserve"> While increased, levels of a</w:t>
      </w:r>
      <w:r w:rsidR="00375B2B" w:rsidRPr="001D2ADB">
        <w:rPr>
          <w:rFonts w:ascii="Arial" w:hAnsi="Arial" w:cs="Arial"/>
        </w:rPr>
        <w:t>spartate ami</w:t>
      </w:r>
      <w:r w:rsidR="00A96E93" w:rsidRPr="001D2ADB">
        <w:rPr>
          <w:rFonts w:ascii="Arial" w:hAnsi="Arial" w:cs="Arial"/>
        </w:rPr>
        <w:t xml:space="preserve">notransferase </w:t>
      </w:r>
      <w:r w:rsidR="00375B2B" w:rsidRPr="001D2ADB">
        <w:rPr>
          <w:rFonts w:ascii="Arial" w:hAnsi="Arial" w:cs="Arial"/>
        </w:rPr>
        <w:t xml:space="preserve">did not exceed two times the upper limit of normal and alanine aminotransferase did not display significant changes in study participants. Creatine kinase was elevated, greater than three times the upper limit of normal, in three patients. </w:t>
      </w:r>
      <w:r w:rsidR="00A96E93" w:rsidRPr="001D2ADB">
        <w:rPr>
          <w:rFonts w:ascii="Arial" w:hAnsi="Arial" w:cs="Arial"/>
        </w:rPr>
        <w:t>All subjects</w:t>
      </w:r>
      <w:r w:rsidR="00375B2B" w:rsidRPr="001D2ADB">
        <w:rPr>
          <w:rFonts w:ascii="Arial" w:hAnsi="Arial" w:cs="Arial"/>
        </w:rPr>
        <w:t xml:space="preserve"> remained asymptomatic and the elevated creatine kinase levels resolved spontaneously </w:t>
      </w:r>
      <w:r w:rsidR="00A96E93" w:rsidRPr="001D2ADB">
        <w:rPr>
          <w:rFonts w:ascii="Arial" w:hAnsi="Arial" w:cs="Arial"/>
        </w:rPr>
        <w:t>while no adjustment was need in their medication</w:t>
      </w:r>
      <w:r w:rsidR="00375B2B" w:rsidRPr="001D2ADB">
        <w:rPr>
          <w:rFonts w:ascii="Arial" w:hAnsi="Arial" w:cs="Arial"/>
        </w:rPr>
        <w:t xml:space="preserve">. </w:t>
      </w:r>
      <w:r w:rsidR="008A6124" w:rsidRPr="001D2ADB">
        <w:rPr>
          <w:rFonts w:ascii="Arial" w:hAnsi="Arial" w:cs="Arial"/>
        </w:rPr>
        <w:t>Assessment of</w:t>
      </w:r>
      <w:r w:rsidR="00375B2B" w:rsidRPr="001D2ADB">
        <w:rPr>
          <w:rFonts w:ascii="Arial" w:hAnsi="Arial" w:cs="Arial"/>
        </w:rPr>
        <w:t xml:space="preserve"> growth and sexual maturation</w:t>
      </w:r>
      <w:r w:rsidR="008A6124" w:rsidRPr="001D2ADB">
        <w:rPr>
          <w:rFonts w:ascii="Arial" w:hAnsi="Arial" w:cs="Arial"/>
        </w:rPr>
        <w:t xml:space="preserve">, by </w:t>
      </w:r>
      <w:r w:rsidR="00A96E93" w:rsidRPr="001D2ADB">
        <w:rPr>
          <w:rFonts w:ascii="Arial" w:hAnsi="Arial" w:cs="Arial"/>
        </w:rPr>
        <w:t xml:space="preserve">Tanner staging and estimation of </w:t>
      </w:r>
      <w:r w:rsidR="008A6124" w:rsidRPr="001D2ADB">
        <w:rPr>
          <w:rFonts w:ascii="Arial" w:hAnsi="Arial" w:cs="Arial"/>
        </w:rPr>
        <w:t>testicular volume</w:t>
      </w:r>
      <w:r w:rsidR="00A96E93" w:rsidRPr="001D2ADB">
        <w:rPr>
          <w:rFonts w:ascii="Arial" w:hAnsi="Arial" w:cs="Arial"/>
        </w:rPr>
        <w:t>s</w:t>
      </w:r>
      <w:r w:rsidR="008A6124" w:rsidRPr="001D2ADB">
        <w:rPr>
          <w:rFonts w:ascii="Arial" w:hAnsi="Arial" w:cs="Arial"/>
        </w:rPr>
        <w:t>, in youth treated with lovastatin found</w:t>
      </w:r>
      <w:r w:rsidR="00375B2B" w:rsidRPr="001D2ADB">
        <w:rPr>
          <w:rFonts w:ascii="Arial" w:hAnsi="Arial" w:cs="Arial"/>
        </w:rPr>
        <w:t xml:space="preserve"> no significant differences between the treatment groups and placebo at either 24 or 48 weeks</w:t>
      </w:r>
      <w:r w:rsidR="00D94C68" w:rsidRPr="001D2ADB">
        <w:rPr>
          <w:rFonts w:ascii="Arial" w:hAnsi="Arial" w:cs="Arial"/>
        </w:rPr>
        <w:t xml:space="preserve"> (2</w:t>
      </w:r>
      <w:r w:rsidR="00AC3121" w:rsidRPr="001D2ADB">
        <w:rPr>
          <w:rFonts w:ascii="Arial" w:hAnsi="Arial" w:cs="Arial"/>
        </w:rPr>
        <w:t>6</w:t>
      </w:r>
      <w:r w:rsidR="00D94C68" w:rsidRPr="001D2ADB">
        <w:rPr>
          <w:rFonts w:ascii="Arial" w:hAnsi="Arial" w:cs="Arial"/>
        </w:rPr>
        <w:t>)</w:t>
      </w:r>
      <w:r w:rsidR="00375B2B" w:rsidRPr="001D2ADB">
        <w:rPr>
          <w:rFonts w:ascii="Arial" w:hAnsi="Arial" w:cs="Arial"/>
        </w:rPr>
        <w:t>.</w:t>
      </w:r>
      <w:r w:rsidR="006A6C95" w:rsidRPr="001D2ADB">
        <w:rPr>
          <w:rFonts w:ascii="Arial" w:hAnsi="Arial" w:cs="Arial"/>
        </w:rPr>
        <w:t xml:space="preserve"> While</w:t>
      </w:r>
      <w:r w:rsidR="00375B2B" w:rsidRPr="001D2ADB">
        <w:rPr>
          <w:rFonts w:ascii="Arial" w:hAnsi="Arial" w:cs="Arial"/>
        </w:rPr>
        <w:t xml:space="preserve"> the authors reported no significant change in serum hormone levels or biochemical parameters of nutrition, they </w:t>
      </w:r>
      <w:r w:rsidR="00A96E93" w:rsidRPr="001D2ADB">
        <w:rPr>
          <w:rFonts w:ascii="Arial" w:hAnsi="Arial" w:cs="Arial"/>
        </w:rPr>
        <w:t>noted</w:t>
      </w:r>
      <w:r w:rsidR="00375B2B" w:rsidRPr="001D2ADB">
        <w:rPr>
          <w:rFonts w:ascii="Arial" w:hAnsi="Arial" w:cs="Arial"/>
        </w:rPr>
        <w:t xml:space="preserve"> that the study was under powered to detect statistically significant changes in these safety parameters</w:t>
      </w:r>
      <w:r w:rsidR="00E27F5C" w:rsidRPr="001D2ADB">
        <w:rPr>
          <w:rFonts w:ascii="Arial" w:hAnsi="Arial" w:cs="Arial"/>
        </w:rPr>
        <w:t>.</w:t>
      </w:r>
    </w:p>
    <w:p w14:paraId="0513CF22" w14:textId="77777777" w:rsidR="00474DCD" w:rsidRPr="001D2ADB" w:rsidRDefault="00474DCD" w:rsidP="001D2ADB">
      <w:pPr>
        <w:spacing w:after="0"/>
        <w:rPr>
          <w:rFonts w:ascii="Arial" w:hAnsi="Arial" w:cs="Arial"/>
        </w:rPr>
      </w:pPr>
    </w:p>
    <w:p w14:paraId="03F3B41A" w14:textId="6804A495" w:rsidR="00F65CCB" w:rsidRPr="001D2ADB" w:rsidRDefault="003735B8" w:rsidP="001D2ADB">
      <w:pPr>
        <w:spacing w:after="0"/>
        <w:rPr>
          <w:rFonts w:ascii="Arial" w:hAnsi="Arial" w:cs="Arial"/>
        </w:rPr>
      </w:pPr>
      <w:r w:rsidRPr="001D2ADB">
        <w:rPr>
          <w:rFonts w:ascii="Arial" w:hAnsi="Arial" w:cs="Arial"/>
        </w:rPr>
        <w:t>Use of p</w:t>
      </w:r>
      <w:r w:rsidR="009C0E73" w:rsidRPr="001D2ADB">
        <w:rPr>
          <w:rFonts w:ascii="Arial" w:hAnsi="Arial" w:cs="Arial"/>
        </w:rPr>
        <w:t xml:space="preserve">ravastatin </w:t>
      </w:r>
      <w:r w:rsidR="00A96E93" w:rsidRPr="001D2ADB">
        <w:rPr>
          <w:rFonts w:ascii="Arial" w:hAnsi="Arial" w:cs="Arial"/>
        </w:rPr>
        <w:t>has been shown to have</w:t>
      </w:r>
      <w:r w:rsidR="009C0E73" w:rsidRPr="001D2ADB">
        <w:rPr>
          <w:rFonts w:ascii="Arial" w:hAnsi="Arial" w:cs="Arial"/>
        </w:rPr>
        <w:t xml:space="preserve"> m</w:t>
      </w:r>
      <w:r w:rsidR="00375B2B" w:rsidRPr="001D2ADB">
        <w:rPr>
          <w:rFonts w:ascii="Arial" w:hAnsi="Arial" w:cs="Arial"/>
        </w:rPr>
        <w:t xml:space="preserve">inimal adverse events dispersed evenly </w:t>
      </w:r>
      <w:r w:rsidR="00A96E93" w:rsidRPr="001D2ADB">
        <w:rPr>
          <w:rFonts w:ascii="Arial" w:hAnsi="Arial" w:cs="Arial"/>
        </w:rPr>
        <w:t>between the active drug recipients</w:t>
      </w:r>
      <w:r w:rsidR="00375B2B" w:rsidRPr="001D2ADB">
        <w:rPr>
          <w:rFonts w:ascii="Arial" w:hAnsi="Arial" w:cs="Arial"/>
        </w:rPr>
        <w:t xml:space="preserve"> and th</w:t>
      </w:r>
      <w:r w:rsidR="00A96E93" w:rsidRPr="001D2ADB">
        <w:rPr>
          <w:rFonts w:ascii="Arial" w:hAnsi="Arial" w:cs="Arial"/>
        </w:rPr>
        <w:t>ose who received placebo</w:t>
      </w:r>
      <w:r w:rsidR="00D94C68" w:rsidRPr="001D2ADB">
        <w:rPr>
          <w:rFonts w:ascii="Arial" w:hAnsi="Arial" w:cs="Arial"/>
        </w:rPr>
        <w:t xml:space="preserve"> (2</w:t>
      </w:r>
      <w:r w:rsidR="00AC3121" w:rsidRPr="001D2ADB">
        <w:rPr>
          <w:rFonts w:ascii="Arial" w:hAnsi="Arial" w:cs="Arial"/>
        </w:rPr>
        <w:t>7</w:t>
      </w:r>
      <w:r w:rsidR="00D94C68" w:rsidRPr="001D2ADB">
        <w:rPr>
          <w:rFonts w:ascii="Arial" w:hAnsi="Arial" w:cs="Arial"/>
        </w:rPr>
        <w:t>)</w:t>
      </w:r>
      <w:r w:rsidR="00375B2B" w:rsidRPr="001D2ADB">
        <w:rPr>
          <w:rFonts w:ascii="Arial" w:hAnsi="Arial" w:cs="Arial"/>
        </w:rPr>
        <w:t>.</w:t>
      </w:r>
      <w:r w:rsidR="006A6C95" w:rsidRPr="001D2ADB">
        <w:rPr>
          <w:rFonts w:ascii="Arial" w:hAnsi="Arial" w:cs="Arial"/>
        </w:rPr>
        <w:t xml:space="preserve"> Plasma</w:t>
      </w:r>
      <w:r w:rsidR="00375B2B" w:rsidRPr="001D2ADB">
        <w:rPr>
          <w:rFonts w:ascii="Arial" w:hAnsi="Arial" w:cs="Arial"/>
        </w:rPr>
        <w:t xml:space="preserve"> thyroid-stimulating hormone, adrenocorticotropic hormone, cortisol, creatine phosphokinase, alanine aminotransferase, aspartate aminotransferase, total bilirubin, and alkaline</w:t>
      </w:r>
      <w:r w:rsidR="007C2D28" w:rsidRPr="001D2ADB">
        <w:rPr>
          <w:rFonts w:ascii="Arial" w:hAnsi="Arial" w:cs="Arial"/>
        </w:rPr>
        <w:t xml:space="preserve"> phosphatase levels </w:t>
      </w:r>
      <w:r w:rsidR="00375B2B" w:rsidRPr="001D2ADB">
        <w:rPr>
          <w:rFonts w:ascii="Arial" w:hAnsi="Arial" w:cs="Arial"/>
        </w:rPr>
        <w:t>failed to show significant changes from bas</w:t>
      </w:r>
      <w:r w:rsidR="00E27F5C" w:rsidRPr="001D2ADB">
        <w:rPr>
          <w:rFonts w:ascii="Arial" w:hAnsi="Arial" w:cs="Arial"/>
        </w:rPr>
        <w:t>eline in all treatment groups.</w:t>
      </w:r>
      <w:r w:rsidR="00375B2B" w:rsidRPr="001D2ADB">
        <w:rPr>
          <w:rFonts w:ascii="Arial" w:hAnsi="Arial" w:cs="Arial"/>
        </w:rPr>
        <w:t xml:space="preserve"> </w:t>
      </w:r>
      <w:r w:rsidR="00D07EDA" w:rsidRPr="001D2ADB">
        <w:rPr>
          <w:rFonts w:ascii="Arial" w:hAnsi="Arial" w:cs="Arial"/>
        </w:rPr>
        <w:t xml:space="preserve">Rodenburg and colleagues </w:t>
      </w:r>
      <w:r w:rsidR="00C679C9" w:rsidRPr="001D2ADB">
        <w:rPr>
          <w:rFonts w:ascii="Arial" w:hAnsi="Arial" w:cs="Arial"/>
        </w:rPr>
        <w:t xml:space="preserve">also </w:t>
      </w:r>
      <w:r w:rsidR="00D07EDA" w:rsidRPr="001D2ADB">
        <w:rPr>
          <w:rFonts w:ascii="Arial" w:hAnsi="Arial" w:cs="Arial"/>
        </w:rPr>
        <w:t>evaluated the s</w:t>
      </w:r>
      <w:r w:rsidR="00375B2B" w:rsidRPr="001D2ADB">
        <w:rPr>
          <w:rFonts w:ascii="Arial" w:hAnsi="Arial" w:cs="Arial"/>
        </w:rPr>
        <w:t xml:space="preserve">afety </w:t>
      </w:r>
      <w:r w:rsidR="00D07EDA" w:rsidRPr="001D2ADB">
        <w:rPr>
          <w:rFonts w:ascii="Arial" w:hAnsi="Arial" w:cs="Arial"/>
        </w:rPr>
        <w:t xml:space="preserve">of pravastatin </w:t>
      </w:r>
      <w:r w:rsidR="00375B2B" w:rsidRPr="001D2ADB">
        <w:rPr>
          <w:rFonts w:ascii="Arial" w:hAnsi="Arial" w:cs="Arial"/>
        </w:rPr>
        <w:t>based on annual or biannual evaluation of plasma creatine phosphokinase levels, liver enzymes, sex steroids, gonadotropins, and hormones of the pituitary-adrenal axis</w:t>
      </w:r>
      <w:r w:rsidR="00D94C68" w:rsidRPr="001D2ADB">
        <w:rPr>
          <w:rFonts w:ascii="Arial" w:hAnsi="Arial" w:cs="Arial"/>
        </w:rPr>
        <w:t xml:space="preserve"> (2</w:t>
      </w:r>
      <w:r w:rsidR="00AC3121" w:rsidRPr="001D2ADB">
        <w:rPr>
          <w:rFonts w:ascii="Arial" w:hAnsi="Arial" w:cs="Arial"/>
        </w:rPr>
        <w:t>9</w:t>
      </w:r>
      <w:r w:rsidR="00D94C68" w:rsidRPr="001D2ADB">
        <w:rPr>
          <w:rFonts w:ascii="Arial" w:hAnsi="Arial" w:cs="Arial"/>
        </w:rPr>
        <w:t>)</w:t>
      </w:r>
      <w:r w:rsidR="00375B2B" w:rsidRPr="001D2ADB">
        <w:rPr>
          <w:rFonts w:ascii="Arial" w:hAnsi="Arial" w:cs="Arial"/>
        </w:rPr>
        <w:t>.</w:t>
      </w:r>
      <w:r w:rsidR="006A6C95" w:rsidRPr="001D2ADB">
        <w:rPr>
          <w:rFonts w:ascii="Arial" w:hAnsi="Arial" w:cs="Arial"/>
        </w:rPr>
        <w:t xml:space="preserve"> Height</w:t>
      </w:r>
      <w:r w:rsidR="00375B2B" w:rsidRPr="001D2ADB">
        <w:rPr>
          <w:rFonts w:ascii="Arial" w:hAnsi="Arial" w:cs="Arial"/>
        </w:rPr>
        <w:t xml:space="preserve">, weight, age at menarche, Tanner staging, and testicular volume were recorded at baseline and either annually or biannually. Two subjects demonstrated elevated creatine phosphokinase levels which returned to normal without adjustments in therapy, and were </w:t>
      </w:r>
      <w:r w:rsidR="00A96E93" w:rsidRPr="001D2ADB">
        <w:rPr>
          <w:rFonts w:ascii="Arial" w:hAnsi="Arial" w:cs="Arial"/>
        </w:rPr>
        <w:t>presumed</w:t>
      </w:r>
      <w:r w:rsidR="00375B2B" w:rsidRPr="001D2ADB">
        <w:rPr>
          <w:rFonts w:ascii="Arial" w:hAnsi="Arial" w:cs="Arial"/>
        </w:rPr>
        <w:t xml:space="preserve"> to be due to extreme physical exercise. </w:t>
      </w:r>
      <w:r w:rsidRPr="001D2ADB">
        <w:rPr>
          <w:rFonts w:ascii="Arial" w:hAnsi="Arial" w:cs="Arial"/>
        </w:rPr>
        <w:t>No</w:t>
      </w:r>
      <w:r w:rsidR="00375B2B" w:rsidRPr="001D2ADB">
        <w:rPr>
          <w:rFonts w:ascii="Arial" w:hAnsi="Arial" w:cs="Arial"/>
        </w:rPr>
        <w:t xml:space="preserve"> </w:t>
      </w:r>
      <w:r w:rsidR="00A96E93" w:rsidRPr="001D2ADB">
        <w:rPr>
          <w:rFonts w:ascii="Arial" w:hAnsi="Arial" w:cs="Arial"/>
        </w:rPr>
        <w:t>occurrence</w:t>
      </w:r>
      <w:r w:rsidR="00375B2B" w:rsidRPr="001D2ADB">
        <w:rPr>
          <w:rFonts w:ascii="Arial" w:hAnsi="Arial" w:cs="Arial"/>
        </w:rPr>
        <w:t xml:space="preserve"> of myalgia </w:t>
      </w:r>
      <w:r w:rsidRPr="001D2ADB">
        <w:rPr>
          <w:rFonts w:ascii="Arial" w:hAnsi="Arial" w:cs="Arial"/>
        </w:rPr>
        <w:t>w</w:t>
      </w:r>
      <w:r w:rsidR="00A96E93" w:rsidRPr="001D2ADB">
        <w:rPr>
          <w:rFonts w:ascii="Arial" w:hAnsi="Arial" w:cs="Arial"/>
        </w:rPr>
        <w:t>as</w:t>
      </w:r>
      <w:r w:rsidRPr="001D2ADB">
        <w:rPr>
          <w:rFonts w:ascii="Arial" w:hAnsi="Arial" w:cs="Arial"/>
        </w:rPr>
        <w:t xml:space="preserve"> </w:t>
      </w:r>
      <w:r w:rsidR="00A96E93" w:rsidRPr="001D2ADB">
        <w:rPr>
          <w:rFonts w:ascii="Arial" w:hAnsi="Arial" w:cs="Arial"/>
        </w:rPr>
        <w:t>associated with elevation</w:t>
      </w:r>
      <w:r w:rsidR="00375B2B" w:rsidRPr="001D2ADB">
        <w:rPr>
          <w:rFonts w:ascii="Arial" w:hAnsi="Arial" w:cs="Arial"/>
        </w:rPr>
        <w:t xml:space="preserve"> in</w:t>
      </w:r>
      <w:r w:rsidR="00A96E93" w:rsidRPr="001D2ADB">
        <w:rPr>
          <w:rFonts w:ascii="Arial" w:hAnsi="Arial" w:cs="Arial"/>
        </w:rPr>
        <w:t xml:space="preserve"> levels of creatinine phosphokinase</w:t>
      </w:r>
      <w:r w:rsidR="00375B2B" w:rsidRPr="001D2ADB">
        <w:rPr>
          <w:rFonts w:ascii="Arial" w:hAnsi="Arial" w:cs="Arial"/>
        </w:rPr>
        <w:t xml:space="preserve">.  </w:t>
      </w:r>
      <w:r w:rsidRPr="001D2ADB">
        <w:rPr>
          <w:rFonts w:ascii="Arial" w:hAnsi="Arial" w:cs="Arial"/>
        </w:rPr>
        <w:t>N</w:t>
      </w:r>
      <w:r w:rsidR="00375B2B" w:rsidRPr="001D2ADB">
        <w:rPr>
          <w:rFonts w:ascii="Arial" w:hAnsi="Arial" w:cs="Arial"/>
        </w:rPr>
        <w:t xml:space="preserve">one of the subjects discontinued </w:t>
      </w:r>
      <w:r w:rsidRPr="001D2ADB">
        <w:rPr>
          <w:rFonts w:ascii="Arial" w:hAnsi="Arial" w:cs="Arial"/>
        </w:rPr>
        <w:t xml:space="preserve">therapy </w:t>
      </w:r>
      <w:r w:rsidR="00375B2B" w:rsidRPr="001D2ADB">
        <w:rPr>
          <w:rFonts w:ascii="Arial" w:hAnsi="Arial" w:cs="Arial"/>
        </w:rPr>
        <w:t>due to adverse events</w:t>
      </w:r>
      <w:r w:rsidRPr="001D2ADB">
        <w:rPr>
          <w:rFonts w:ascii="Arial" w:hAnsi="Arial" w:cs="Arial"/>
        </w:rPr>
        <w:t xml:space="preserve"> or laboratory abnormalities</w:t>
      </w:r>
      <w:r w:rsidR="00375B2B" w:rsidRPr="001D2ADB">
        <w:rPr>
          <w:rFonts w:ascii="Arial" w:hAnsi="Arial" w:cs="Arial"/>
        </w:rPr>
        <w:t xml:space="preserve">.  </w:t>
      </w:r>
      <w:r w:rsidR="00C679C9" w:rsidRPr="001D2ADB">
        <w:rPr>
          <w:rFonts w:ascii="Arial" w:hAnsi="Arial" w:cs="Arial"/>
        </w:rPr>
        <w:t xml:space="preserve">Similarly, </w:t>
      </w:r>
      <w:r w:rsidR="00375B2B" w:rsidRPr="001D2ADB">
        <w:rPr>
          <w:rFonts w:ascii="Arial" w:hAnsi="Arial" w:cs="Arial"/>
        </w:rPr>
        <w:t>Wiegman and colleagues examined the safety of pravastatin evaluated at baseline, one year, and two years via multiple variables including: sex steroids, endocrine function parameters, height, weight, body surface area, Tanner staging, menarche or testicular volume, alanine aminotransferase, aspartate aminotransferase, and creatine phosphokinase</w:t>
      </w:r>
      <w:r w:rsidR="00546A24" w:rsidRPr="001D2ADB">
        <w:rPr>
          <w:rFonts w:ascii="Arial" w:hAnsi="Arial" w:cs="Arial"/>
        </w:rPr>
        <w:t xml:space="preserve"> (2</w:t>
      </w:r>
      <w:r w:rsidR="00AC3121" w:rsidRPr="001D2ADB">
        <w:rPr>
          <w:rFonts w:ascii="Arial" w:hAnsi="Arial" w:cs="Arial"/>
        </w:rPr>
        <w:t>8</w:t>
      </w:r>
      <w:r w:rsidR="00546A24" w:rsidRPr="001D2ADB">
        <w:rPr>
          <w:rFonts w:ascii="Arial" w:hAnsi="Arial" w:cs="Arial"/>
        </w:rPr>
        <w:t>)</w:t>
      </w:r>
      <w:r w:rsidR="00375B2B" w:rsidRPr="001D2ADB">
        <w:rPr>
          <w:rFonts w:ascii="Arial" w:hAnsi="Arial" w:cs="Arial"/>
        </w:rPr>
        <w:t xml:space="preserve">. All safety parameters demonstrated no statistically significant differences between active drug </w:t>
      </w:r>
      <w:r w:rsidR="00A96E93" w:rsidRPr="001D2ADB">
        <w:rPr>
          <w:rFonts w:ascii="Arial" w:hAnsi="Arial" w:cs="Arial"/>
        </w:rPr>
        <w:t>recipients</w:t>
      </w:r>
      <w:r w:rsidR="00375B2B" w:rsidRPr="001D2ADB">
        <w:rPr>
          <w:rFonts w:ascii="Arial" w:hAnsi="Arial" w:cs="Arial"/>
        </w:rPr>
        <w:t xml:space="preserve"> </w:t>
      </w:r>
      <w:r w:rsidR="00A96E93" w:rsidRPr="001D2ADB">
        <w:rPr>
          <w:rFonts w:ascii="Arial" w:hAnsi="Arial" w:cs="Arial"/>
        </w:rPr>
        <w:t xml:space="preserve">verses placebo </w:t>
      </w:r>
      <w:r w:rsidR="00375B2B" w:rsidRPr="001D2ADB">
        <w:rPr>
          <w:rFonts w:ascii="Arial" w:hAnsi="Arial" w:cs="Arial"/>
        </w:rPr>
        <w:t xml:space="preserve">in changes from </w:t>
      </w:r>
      <w:r w:rsidR="00F65CCB" w:rsidRPr="001D2ADB">
        <w:rPr>
          <w:rFonts w:ascii="Arial" w:hAnsi="Arial" w:cs="Arial"/>
        </w:rPr>
        <w:t>baseline.</w:t>
      </w:r>
    </w:p>
    <w:p w14:paraId="205FB120" w14:textId="77777777" w:rsidR="00474DCD" w:rsidRPr="001D2ADB" w:rsidRDefault="00474DCD" w:rsidP="001D2ADB">
      <w:pPr>
        <w:spacing w:after="0"/>
        <w:rPr>
          <w:rFonts w:ascii="Arial" w:hAnsi="Arial" w:cs="Arial"/>
        </w:rPr>
      </w:pPr>
    </w:p>
    <w:p w14:paraId="37510CCF" w14:textId="41A10DA6" w:rsidR="00375B2B" w:rsidRPr="001D2ADB" w:rsidRDefault="00541C04" w:rsidP="001D2ADB">
      <w:pPr>
        <w:spacing w:after="0"/>
        <w:rPr>
          <w:rFonts w:ascii="Arial" w:hAnsi="Arial" w:cs="Arial"/>
        </w:rPr>
      </w:pPr>
      <w:r w:rsidRPr="001D2ADB">
        <w:rPr>
          <w:rFonts w:ascii="Arial" w:hAnsi="Arial" w:cs="Arial"/>
        </w:rPr>
        <w:t xml:space="preserve">The </w:t>
      </w:r>
      <w:r w:rsidR="00375B2B" w:rsidRPr="001D2ADB">
        <w:rPr>
          <w:rFonts w:ascii="Arial" w:hAnsi="Arial" w:cs="Arial"/>
        </w:rPr>
        <w:t xml:space="preserve">safety of rosuvastatin </w:t>
      </w:r>
      <w:r w:rsidRPr="001D2ADB">
        <w:rPr>
          <w:rFonts w:ascii="Arial" w:hAnsi="Arial" w:cs="Arial"/>
        </w:rPr>
        <w:t xml:space="preserve">was </w:t>
      </w:r>
      <w:r w:rsidR="00303A7C" w:rsidRPr="001D2ADB">
        <w:rPr>
          <w:rFonts w:ascii="Arial" w:hAnsi="Arial" w:cs="Arial"/>
        </w:rPr>
        <w:t>assessed by Avis and colleagues.  L</w:t>
      </w:r>
      <w:r w:rsidR="00375B2B" w:rsidRPr="001D2ADB">
        <w:rPr>
          <w:rFonts w:ascii="Arial" w:hAnsi="Arial" w:cs="Arial"/>
        </w:rPr>
        <w:t xml:space="preserve">aboratory monitoring including liver enzymes and creatine kinase levels, and </w:t>
      </w:r>
      <w:r w:rsidR="00303A7C" w:rsidRPr="001D2ADB">
        <w:rPr>
          <w:rFonts w:ascii="Arial" w:hAnsi="Arial" w:cs="Arial"/>
        </w:rPr>
        <w:t xml:space="preserve">markers of growth and development, </w:t>
      </w:r>
      <w:r w:rsidR="00375B2B" w:rsidRPr="001D2ADB">
        <w:rPr>
          <w:rFonts w:ascii="Arial" w:hAnsi="Arial" w:cs="Arial"/>
        </w:rPr>
        <w:t>such as Tanner staging</w:t>
      </w:r>
      <w:r w:rsidR="00546A24" w:rsidRPr="001D2ADB">
        <w:rPr>
          <w:rFonts w:ascii="Arial" w:hAnsi="Arial" w:cs="Arial"/>
        </w:rPr>
        <w:t xml:space="preserve"> (</w:t>
      </w:r>
      <w:r w:rsidR="00AC3121" w:rsidRPr="001D2ADB">
        <w:rPr>
          <w:rFonts w:ascii="Arial" w:hAnsi="Arial" w:cs="Arial"/>
        </w:rPr>
        <w:t>30</w:t>
      </w:r>
      <w:r w:rsidR="00546A24" w:rsidRPr="001D2ADB">
        <w:rPr>
          <w:rFonts w:ascii="Arial" w:hAnsi="Arial" w:cs="Arial"/>
        </w:rPr>
        <w:t>)</w:t>
      </w:r>
      <w:r w:rsidR="00375B2B" w:rsidRPr="001D2ADB">
        <w:rPr>
          <w:rFonts w:ascii="Arial" w:hAnsi="Arial" w:cs="Arial"/>
        </w:rPr>
        <w:t xml:space="preserve">. Two serious adverse events were reported including blurred vision </w:t>
      </w:r>
      <w:r w:rsidR="008C56AB" w:rsidRPr="001D2ADB">
        <w:rPr>
          <w:rFonts w:ascii="Arial" w:hAnsi="Arial" w:cs="Arial"/>
        </w:rPr>
        <w:t>in one</w:t>
      </w:r>
      <w:r w:rsidR="00375B2B" w:rsidRPr="001D2ADB">
        <w:rPr>
          <w:rFonts w:ascii="Arial" w:hAnsi="Arial" w:cs="Arial"/>
        </w:rPr>
        <w:t xml:space="preserve"> patient in the placebo group and a vesicular rash progressing to cellulitis </w:t>
      </w:r>
      <w:r w:rsidR="00303A7C" w:rsidRPr="001D2ADB">
        <w:rPr>
          <w:rFonts w:ascii="Arial" w:hAnsi="Arial" w:cs="Arial"/>
        </w:rPr>
        <w:t xml:space="preserve">in </w:t>
      </w:r>
      <w:r w:rsidR="00375B2B" w:rsidRPr="001D2ADB">
        <w:rPr>
          <w:rFonts w:ascii="Arial" w:hAnsi="Arial" w:cs="Arial"/>
        </w:rPr>
        <w:t>one patient taking rosuvastatin 20 mg. Transaminas</w:t>
      </w:r>
      <w:r w:rsidR="00303A7C" w:rsidRPr="001D2ADB">
        <w:rPr>
          <w:rFonts w:ascii="Arial" w:hAnsi="Arial" w:cs="Arial"/>
        </w:rPr>
        <w:t>e levels either remained normal</w:t>
      </w:r>
      <w:r w:rsidR="00375B2B" w:rsidRPr="001D2ADB">
        <w:rPr>
          <w:rFonts w:ascii="Arial" w:hAnsi="Arial" w:cs="Arial"/>
        </w:rPr>
        <w:t xml:space="preserve"> or normalized without </w:t>
      </w:r>
      <w:r w:rsidR="00375B2B" w:rsidRPr="001D2ADB">
        <w:rPr>
          <w:rFonts w:ascii="Arial" w:hAnsi="Arial" w:cs="Arial"/>
        </w:rPr>
        <w:lastRenderedPageBreak/>
        <w:t xml:space="preserve">permanent discontinuation of treatment. While elevations in creatine kinase and reports of myalgia did occur, symptoms and creatine kinase levels normalized without permanent discontinuation of therapy. Normal progression of height, weight, and sexual development were observed.  </w:t>
      </w:r>
    </w:p>
    <w:p w14:paraId="28DB55B5" w14:textId="77777777" w:rsidR="00474DCD" w:rsidRPr="001D2ADB" w:rsidRDefault="00474DCD" w:rsidP="001D2ADB">
      <w:pPr>
        <w:autoSpaceDE w:val="0"/>
        <w:autoSpaceDN w:val="0"/>
        <w:adjustRightInd w:val="0"/>
        <w:spacing w:after="0"/>
        <w:rPr>
          <w:rFonts w:ascii="Arial" w:hAnsi="Arial" w:cs="Arial"/>
        </w:rPr>
      </w:pPr>
    </w:p>
    <w:p w14:paraId="33421D2C" w14:textId="664B1D7A" w:rsidR="00E84060" w:rsidRPr="001D2ADB" w:rsidRDefault="003735B8" w:rsidP="001D2ADB">
      <w:pPr>
        <w:autoSpaceDE w:val="0"/>
        <w:autoSpaceDN w:val="0"/>
        <w:adjustRightInd w:val="0"/>
        <w:spacing w:after="0"/>
        <w:rPr>
          <w:rFonts w:ascii="Arial" w:hAnsi="Arial" w:cs="Arial"/>
        </w:rPr>
      </w:pPr>
      <w:r w:rsidRPr="001D2ADB">
        <w:rPr>
          <w:rFonts w:ascii="Arial" w:hAnsi="Arial" w:cs="Arial"/>
        </w:rPr>
        <w:t>T</w:t>
      </w:r>
      <w:r w:rsidR="00375B2B" w:rsidRPr="001D2ADB">
        <w:rPr>
          <w:rFonts w:ascii="Arial" w:hAnsi="Arial" w:cs="Arial"/>
        </w:rPr>
        <w:t xml:space="preserve">he safety of simvastatin </w:t>
      </w:r>
      <w:r w:rsidRPr="001D2ADB">
        <w:rPr>
          <w:rFonts w:ascii="Arial" w:hAnsi="Arial" w:cs="Arial"/>
        </w:rPr>
        <w:t>during short term</w:t>
      </w:r>
      <w:r w:rsidR="00541C04" w:rsidRPr="001D2ADB">
        <w:rPr>
          <w:rFonts w:ascii="Arial" w:hAnsi="Arial" w:cs="Arial"/>
        </w:rPr>
        <w:t xml:space="preserve"> therapy </w:t>
      </w:r>
      <w:r w:rsidRPr="001D2ADB">
        <w:rPr>
          <w:rFonts w:ascii="Arial" w:hAnsi="Arial" w:cs="Arial"/>
        </w:rPr>
        <w:t xml:space="preserve">has </w:t>
      </w:r>
      <w:r w:rsidR="00303A7C" w:rsidRPr="001D2ADB">
        <w:rPr>
          <w:rFonts w:ascii="Arial" w:hAnsi="Arial" w:cs="Arial"/>
        </w:rPr>
        <w:t xml:space="preserve">also </w:t>
      </w:r>
      <w:r w:rsidRPr="001D2ADB">
        <w:rPr>
          <w:rFonts w:ascii="Arial" w:hAnsi="Arial" w:cs="Arial"/>
        </w:rPr>
        <w:t xml:space="preserve">been </w:t>
      </w:r>
      <w:r w:rsidR="00303A7C" w:rsidRPr="001D2ADB">
        <w:rPr>
          <w:rFonts w:ascii="Arial" w:hAnsi="Arial" w:cs="Arial"/>
        </w:rPr>
        <w:t>reported.</w:t>
      </w:r>
      <w:r w:rsidRPr="001D2ADB">
        <w:rPr>
          <w:rFonts w:ascii="Arial" w:hAnsi="Arial" w:cs="Arial"/>
        </w:rPr>
        <w:t xml:space="preserve"> </w:t>
      </w:r>
      <w:r w:rsidR="00303A7C" w:rsidRPr="001D2ADB">
        <w:rPr>
          <w:rFonts w:ascii="Arial" w:hAnsi="Arial" w:cs="Arial"/>
        </w:rPr>
        <w:t>Levels of alanine aminotransferase</w:t>
      </w:r>
      <w:r w:rsidR="00375B2B" w:rsidRPr="001D2ADB">
        <w:rPr>
          <w:rFonts w:ascii="Arial" w:hAnsi="Arial" w:cs="Arial"/>
        </w:rPr>
        <w:t>, a</w:t>
      </w:r>
      <w:r w:rsidR="00303A7C" w:rsidRPr="001D2ADB">
        <w:rPr>
          <w:rFonts w:ascii="Arial" w:hAnsi="Arial" w:cs="Arial"/>
        </w:rPr>
        <w:t>spartate aminotransferase, creatine kinase</w:t>
      </w:r>
      <w:r w:rsidR="00375B2B" w:rsidRPr="001D2ADB">
        <w:rPr>
          <w:rFonts w:ascii="Arial" w:hAnsi="Arial" w:cs="Arial"/>
        </w:rPr>
        <w:t xml:space="preserve">, and physical examination all demonstrated no significant differences between simvastatin </w:t>
      </w:r>
      <w:r w:rsidR="00303A7C" w:rsidRPr="001D2ADB">
        <w:rPr>
          <w:rFonts w:ascii="Arial" w:hAnsi="Arial" w:cs="Arial"/>
        </w:rPr>
        <w:t xml:space="preserve">treated </w:t>
      </w:r>
      <w:r w:rsidR="00375B2B" w:rsidRPr="001D2ADB">
        <w:rPr>
          <w:rFonts w:ascii="Arial" w:hAnsi="Arial" w:cs="Arial"/>
        </w:rPr>
        <w:t>and placebo participants</w:t>
      </w:r>
      <w:r w:rsidR="00AC3121" w:rsidRPr="001D2ADB">
        <w:rPr>
          <w:rFonts w:ascii="Arial" w:hAnsi="Arial" w:cs="Arial"/>
        </w:rPr>
        <w:t xml:space="preserve"> (31</w:t>
      </w:r>
      <w:r w:rsidR="00546A24" w:rsidRPr="001D2ADB">
        <w:rPr>
          <w:rFonts w:ascii="Arial" w:hAnsi="Arial" w:cs="Arial"/>
        </w:rPr>
        <w:t>)</w:t>
      </w:r>
      <w:r w:rsidR="00375B2B" w:rsidRPr="001D2ADB">
        <w:rPr>
          <w:rFonts w:ascii="Arial" w:hAnsi="Arial" w:cs="Arial"/>
        </w:rPr>
        <w:t>.</w:t>
      </w:r>
      <w:r w:rsidR="00303A7C" w:rsidRPr="001D2ADB">
        <w:rPr>
          <w:rFonts w:ascii="Arial" w:hAnsi="Arial" w:cs="Arial"/>
        </w:rPr>
        <w:t xml:space="preserve"> </w:t>
      </w:r>
      <w:r w:rsidR="00541C04" w:rsidRPr="001D2ADB">
        <w:rPr>
          <w:rFonts w:ascii="Arial" w:hAnsi="Arial" w:cs="Arial"/>
        </w:rPr>
        <w:t xml:space="preserve">de Jongh and colleagues evaluated the </w:t>
      </w:r>
      <w:r w:rsidR="00375B2B" w:rsidRPr="001D2ADB">
        <w:rPr>
          <w:rFonts w:ascii="Arial" w:hAnsi="Arial" w:cs="Arial"/>
        </w:rPr>
        <w:t xml:space="preserve">safety of simvastatin </w:t>
      </w:r>
      <w:r w:rsidR="00541C04" w:rsidRPr="001D2ADB">
        <w:rPr>
          <w:rFonts w:ascii="Arial" w:hAnsi="Arial" w:cs="Arial"/>
        </w:rPr>
        <w:t xml:space="preserve">in a second trial </w:t>
      </w:r>
      <w:r w:rsidR="005C50CE" w:rsidRPr="001D2ADB">
        <w:rPr>
          <w:rFonts w:ascii="Arial" w:hAnsi="Arial" w:cs="Arial"/>
        </w:rPr>
        <w:t>by monitoring</w:t>
      </w:r>
      <w:r w:rsidR="00375B2B" w:rsidRPr="001D2ADB">
        <w:rPr>
          <w:rFonts w:ascii="Arial" w:hAnsi="Arial" w:cs="Arial"/>
        </w:rPr>
        <w:t xml:space="preserve"> adverse events as well as </w:t>
      </w:r>
      <w:r w:rsidR="00303A7C" w:rsidRPr="001D2ADB">
        <w:rPr>
          <w:rFonts w:ascii="Arial" w:hAnsi="Arial" w:cs="Arial"/>
        </w:rPr>
        <w:t>changes</w:t>
      </w:r>
      <w:r w:rsidR="00375B2B" w:rsidRPr="001D2ADB">
        <w:rPr>
          <w:rFonts w:ascii="Arial" w:hAnsi="Arial" w:cs="Arial"/>
        </w:rPr>
        <w:t xml:space="preserve"> in alanine aminotransferase, aspartate aminotransferase, and creatine kinase levels</w:t>
      </w:r>
      <w:r w:rsidR="00AC3121" w:rsidRPr="001D2ADB">
        <w:rPr>
          <w:rFonts w:ascii="Arial" w:hAnsi="Arial" w:cs="Arial"/>
        </w:rPr>
        <w:t xml:space="preserve"> (32</w:t>
      </w:r>
      <w:r w:rsidR="00546A24" w:rsidRPr="001D2ADB">
        <w:rPr>
          <w:rFonts w:ascii="Arial" w:hAnsi="Arial" w:cs="Arial"/>
        </w:rPr>
        <w:t>)</w:t>
      </w:r>
      <w:r w:rsidR="00375B2B" w:rsidRPr="001D2ADB">
        <w:rPr>
          <w:rFonts w:ascii="Arial" w:hAnsi="Arial" w:cs="Arial"/>
        </w:rPr>
        <w:t>. Of note, none of the differences reported in events or la</w:t>
      </w:r>
      <w:r w:rsidR="00303A7C" w:rsidRPr="001D2ADB">
        <w:rPr>
          <w:rFonts w:ascii="Arial" w:hAnsi="Arial" w:cs="Arial"/>
        </w:rPr>
        <w:t xml:space="preserve">boratory values between </w:t>
      </w:r>
      <w:r w:rsidR="00375B2B" w:rsidRPr="001D2ADB">
        <w:rPr>
          <w:rFonts w:ascii="Arial" w:hAnsi="Arial" w:cs="Arial"/>
        </w:rPr>
        <w:t xml:space="preserve">simvastatin recipients </w:t>
      </w:r>
      <w:r w:rsidR="00303A7C" w:rsidRPr="001D2ADB">
        <w:rPr>
          <w:rFonts w:ascii="Arial" w:hAnsi="Arial" w:cs="Arial"/>
        </w:rPr>
        <w:t xml:space="preserve">and placebo </w:t>
      </w:r>
      <w:r w:rsidR="00375B2B" w:rsidRPr="001D2ADB">
        <w:rPr>
          <w:rFonts w:ascii="Arial" w:hAnsi="Arial" w:cs="Arial"/>
        </w:rPr>
        <w:t>reached statistical significance. Additionally, there were no statistically significant differences documented for height, body mass index, cortisol levels, testicular size and testosterone levels, menstrual cycle and estra</w:t>
      </w:r>
      <w:r w:rsidR="00303A7C" w:rsidRPr="001D2ADB">
        <w:rPr>
          <w:rFonts w:ascii="Arial" w:hAnsi="Arial" w:cs="Arial"/>
        </w:rPr>
        <w:t>diol levels, and Tanner staging</w:t>
      </w:r>
      <w:r w:rsidR="00375B2B" w:rsidRPr="001D2ADB">
        <w:rPr>
          <w:rFonts w:ascii="Arial" w:hAnsi="Arial" w:cs="Arial"/>
        </w:rPr>
        <w:t xml:space="preserve">.  Dehydroepiandrosterone sulfate levels demonstrated a statistically significant decrease in the simvastatin group compared to placebo.  </w:t>
      </w:r>
    </w:p>
    <w:p w14:paraId="08EE8831" w14:textId="77777777" w:rsidR="00AC3121" w:rsidRPr="001D2ADB" w:rsidRDefault="00AC3121" w:rsidP="001D2ADB">
      <w:pPr>
        <w:spacing w:after="0"/>
        <w:rPr>
          <w:rFonts w:ascii="Arial" w:hAnsi="Arial" w:cs="Arial"/>
          <w:color w:val="000000"/>
        </w:rPr>
      </w:pPr>
    </w:p>
    <w:p w14:paraId="1D3F11C8" w14:textId="1FD2F16C" w:rsidR="00AC3121" w:rsidRPr="001D2ADB" w:rsidRDefault="00AC3121" w:rsidP="001D2ADB">
      <w:pPr>
        <w:spacing w:after="0"/>
        <w:rPr>
          <w:rFonts w:ascii="Arial" w:hAnsi="Arial" w:cs="Arial"/>
        </w:rPr>
      </w:pPr>
      <w:r w:rsidRPr="001D2ADB">
        <w:rPr>
          <w:rFonts w:ascii="Arial" w:hAnsi="Arial" w:cs="Arial"/>
          <w:color w:val="000000"/>
        </w:rPr>
        <w:t>Braamskamp and colleagues investigated the efficacy and safety of pitavastatin in pediatric patients diagnosed with hyperlipidemia</w:t>
      </w:r>
      <w:r w:rsidRPr="001D2ADB">
        <w:rPr>
          <w:rFonts w:ascii="Arial" w:hAnsi="Arial" w:cs="Arial"/>
          <w:color w:val="212121"/>
          <w:shd w:val="clear" w:color="auto" w:fill="FFFFFF"/>
        </w:rPr>
        <w:t>. 106 patients were enrolled in the study, ages 6-17, for a 12-week period (37). Patients were randomly assigned to 4 different groups categorized by dose 1 mg, 2 mg, 4 mg, or placebo (37). The results showed a reduction in all 3 dose groups in comparison to placebo, the 1 mg group sho</w:t>
      </w:r>
      <w:r w:rsidR="00F675E1" w:rsidRPr="001D2ADB">
        <w:rPr>
          <w:rFonts w:ascii="Arial" w:hAnsi="Arial" w:cs="Arial"/>
          <w:color w:val="212121"/>
          <w:shd w:val="clear" w:color="auto" w:fill="FFFFFF"/>
        </w:rPr>
        <w:t>we</w:t>
      </w:r>
      <w:r w:rsidRPr="001D2ADB">
        <w:rPr>
          <w:rFonts w:ascii="Arial" w:hAnsi="Arial" w:cs="Arial"/>
          <w:color w:val="212121"/>
          <w:shd w:val="clear" w:color="auto" w:fill="FFFFFF"/>
        </w:rPr>
        <w:t xml:space="preserve">d a 23.5% reduction in LDL-C, the 2 mg group showed a 30.1% reduction, and the 4 mg group showed a 39.3% reduction (37). There was also a 52-week extension period where patients assigned to the 1 mg group were up-titrated to a maximum dose of 4 mg to try and achieve </w:t>
      </w:r>
      <w:r w:rsidR="008E72EE" w:rsidRPr="001D2ADB">
        <w:rPr>
          <w:rFonts w:ascii="Arial" w:hAnsi="Arial" w:cs="Arial"/>
          <w:color w:val="212121"/>
          <w:shd w:val="clear" w:color="auto" w:fill="FFFFFF"/>
        </w:rPr>
        <w:t>an</w:t>
      </w:r>
      <w:r w:rsidRPr="001D2ADB">
        <w:rPr>
          <w:rFonts w:ascii="Arial" w:hAnsi="Arial" w:cs="Arial"/>
          <w:color w:val="212121"/>
          <w:shd w:val="clear" w:color="auto" w:fill="FFFFFF"/>
        </w:rPr>
        <w:t xml:space="preserve"> LDL-C level of &gt;110 mg/dL (37). There were no safety issues of concern throughout the study. The results indicated that pitavastatin is safe and efficacious for use in pediatric patients, 6-17 years of age, and </w:t>
      </w:r>
      <w:r w:rsidR="00F675E1" w:rsidRPr="001D2ADB">
        <w:rPr>
          <w:rFonts w:ascii="Arial" w:hAnsi="Arial" w:cs="Arial"/>
          <w:color w:val="212121"/>
          <w:shd w:val="clear" w:color="auto" w:fill="FFFFFF"/>
        </w:rPr>
        <w:t xml:space="preserve">it </w:t>
      </w:r>
      <w:r w:rsidRPr="001D2ADB">
        <w:rPr>
          <w:rFonts w:ascii="Arial" w:hAnsi="Arial" w:cs="Arial"/>
          <w:color w:val="212121"/>
          <w:shd w:val="clear" w:color="auto" w:fill="FFFFFF"/>
        </w:rPr>
        <w:t xml:space="preserve">was well-tolerated (37). </w:t>
      </w:r>
    </w:p>
    <w:p w14:paraId="4F9F440D" w14:textId="77777777" w:rsidR="00474DCD" w:rsidRPr="001D2ADB" w:rsidRDefault="00474DCD" w:rsidP="001D2ADB">
      <w:pPr>
        <w:autoSpaceDE w:val="0"/>
        <w:autoSpaceDN w:val="0"/>
        <w:adjustRightInd w:val="0"/>
        <w:spacing w:after="0"/>
        <w:rPr>
          <w:rFonts w:ascii="Arial" w:hAnsi="Arial" w:cs="Arial"/>
        </w:rPr>
      </w:pPr>
    </w:p>
    <w:p w14:paraId="0A65F4C2" w14:textId="1A87F0FD" w:rsidR="00C47E89" w:rsidRPr="001D2ADB" w:rsidRDefault="00303A7C" w:rsidP="001D2ADB">
      <w:pPr>
        <w:autoSpaceDE w:val="0"/>
        <w:autoSpaceDN w:val="0"/>
        <w:adjustRightInd w:val="0"/>
        <w:spacing w:after="0"/>
        <w:rPr>
          <w:rFonts w:ascii="Arial" w:hAnsi="Arial" w:cs="Arial"/>
        </w:rPr>
      </w:pPr>
      <w:r w:rsidRPr="001D2ADB">
        <w:rPr>
          <w:rFonts w:ascii="Arial" w:hAnsi="Arial" w:cs="Arial"/>
        </w:rPr>
        <w:t>L</w:t>
      </w:r>
      <w:r w:rsidR="0031619A" w:rsidRPr="001D2ADB">
        <w:rPr>
          <w:rFonts w:ascii="Arial" w:hAnsi="Arial" w:cs="Arial"/>
        </w:rPr>
        <w:t xml:space="preserve">ong-term data regarding the impact </w:t>
      </w:r>
      <w:r w:rsidR="003735B8" w:rsidRPr="001D2ADB">
        <w:rPr>
          <w:rFonts w:ascii="Arial" w:hAnsi="Arial" w:cs="Arial"/>
        </w:rPr>
        <w:t xml:space="preserve">of statin therapy </w:t>
      </w:r>
      <w:r w:rsidR="0031619A" w:rsidRPr="001D2ADB">
        <w:rPr>
          <w:rFonts w:ascii="Arial" w:hAnsi="Arial" w:cs="Arial"/>
        </w:rPr>
        <w:t>on growth</w:t>
      </w:r>
      <w:r w:rsidR="00FF33AB" w:rsidRPr="001D2ADB">
        <w:rPr>
          <w:rFonts w:ascii="Arial" w:hAnsi="Arial" w:cs="Arial"/>
        </w:rPr>
        <w:t>,</w:t>
      </w:r>
      <w:r w:rsidR="00D64072" w:rsidRPr="001D2ADB">
        <w:rPr>
          <w:rFonts w:ascii="Arial" w:hAnsi="Arial" w:cs="Arial"/>
        </w:rPr>
        <w:t xml:space="preserve"> development</w:t>
      </w:r>
      <w:r w:rsidR="00FF33AB" w:rsidRPr="001D2ADB">
        <w:rPr>
          <w:rFonts w:ascii="Arial" w:hAnsi="Arial" w:cs="Arial"/>
        </w:rPr>
        <w:t>, and reduction of cardiac risk</w:t>
      </w:r>
      <w:r w:rsidR="00D64072" w:rsidRPr="001D2ADB">
        <w:rPr>
          <w:rFonts w:ascii="Arial" w:hAnsi="Arial" w:cs="Arial"/>
        </w:rPr>
        <w:t xml:space="preserve"> are</w:t>
      </w:r>
      <w:r w:rsidR="0031619A" w:rsidRPr="001D2ADB">
        <w:rPr>
          <w:rFonts w:ascii="Arial" w:hAnsi="Arial" w:cs="Arial"/>
        </w:rPr>
        <w:t xml:space="preserve"> </w:t>
      </w:r>
      <w:r w:rsidR="00C47E89" w:rsidRPr="001D2ADB">
        <w:rPr>
          <w:rFonts w:ascii="Arial" w:hAnsi="Arial" w:cs="Arial"/>
        </w:rPr>
        <w:t>limited</w:t>
      </w:r>
      <w:r w:rsidRPr="001D2ADB">
        <w:rPr>
          <w:rFonts w:ascii="Arial" w:hAnsi="Arial" w:cs="Arial"/>
        </w:rPr>
        <w:t>, particularly for high intensity statin therapy</w:t>
      </w:r>
      <w:r w:rsidR="00C47E89" w:rsidRPr="001D2ADB">
        <w:rPr>
          <w:rFonts w:ascii="Arial" w:hAnsi="Arial" w:cs="Arial"/>
        </w:rPr>
        <w:t xml:space="preserve">. Recently, Kusters and colleagues evaluated the safety of statin therapy </w:t>
      </w:r>
      <w:r w:rsidRPr="001D2ADB">
        <w:rPr>
          <w:rFonts w:ascii="Arial" w:hAnsi="Arial" w:cs="Arial"/>
        </w:rPr>
        <w:t>in</w:t>
      </w:r>
      <w:r w:rsidR="00C47E89" w:rsidRPr="001D2ADB">
        <w:rPr>
          <w:rFonts w:ascii="Arial" w:hAnsi="Arial" w:cs="Arial"/>
        </w:rPr>
        <w:t xml:space="preserve"> children and adolescents with familial hypercholesterolemia after 10 years of treatment comparing laboratory safety markers as well as growth and maturation </w:t>
      </w:r>
      <w:r w:rsidRPr="001D2ADB">
        <w:rPr>
          <w:rFonts w:ascii="Arial" w:hAnsi="Arial" w:cs="Arial"/>
        </w:rPr>
        <w:t>in</w:t>
      </w:r>
      <w:r w:rsidR="00C47E89" w:rsidRPr="001D2ADB">
        <w:rPr>
          <w:rFonts w:ascii="Arial" w:hAnsi="Arial" w:cs="Arial"/>
        </w:rPr>
        <w:t xml:space="preserve"> untreated siblings</w:t>
      </w:r>
      <w:r w:rsidR="00F0157D" w:rsidRPr="001D2ADB">
        <w:rPr>
          <w:rFonts w:ascii="Arial" w:hAnsi="Arial" w:cs="Arial"/>
        </w:rPr>
        <w:t xml:space="preserve"> (36</w:t>
      </w:r>
      <w:r w:rsidR="004D16AF" w:rsidRPr="001D2ADB">
        <w:rPr>
          <w:rFonts w:ascii="Arial" w:hAnsi="Arial" w:cs="Arial"/>
        </w:rPr>
        <w:t>)</w:t>
      </w:r>
      <w:r w:rsidR="00C47E89" w:rsidRPr="001D2ADB">
        <w:rPr>
          <w:rFonts w:ascii="Arial" w:hAnsi="Arial" w:cs="Arial"/>
        </w:rPr>
        <w:t>.</w:t>
      </w:r>
      <w:r w:rsidR="006A6C95" w:rsidRPr="001D2ADB">
        <w:rPr>
          <w:rFonts w:ascii="Arial" w:hAnsi="Arial" w:cs="Arial"/>
        </w:rPr>
        <w:t xml:space="preserve"> Only</w:t>
      </w:r>
      <w:r w:rsidR="00C47E89" w:rsidRPr="001D2ADB">
        <w:rPr>
          <w:rFonts w:ascii="Arial" w:hAnsi="Arial" w:cs="Arial"/>
        </w:rPr>
        <w:t xml:space="preserve"> three patients discontinued therapy due to adverse events. Safety parameters such as aspartate aminotransferase, alanine aminotransferase, creatine kinase, estimated glomerular filtration rate, c-reactive protein, and age </w:t>
      </w:r>
      <w:r w:rsidRPr="001D2ADB">
        <w:rPr>
          <w:rFonts w:ascii="Arial" w:hAnsi="Arial" w:cs="Arial"/>
        </w:rPr>
        <w:t>of</w:t>
      </w:r>
      <w:r w:rsidR="00C47E89" w:rsidRPr="001D2ADB">
        <w:rPr>
          <w:rFonts w:ascii="Arial" w:hAnsi="Arial" w:cs="Arial"/>
        </w:rPr>
        <w:t xml:space="preserve"> menarche did not differ between treated patients and siblings</w:t>
      </w:r>
      <w:r w:rsidRPr="001D2ADB">
        <w:rPr>
          <w:rFonts w:ascii="Arial" w:hAnsi="Arial" w:cs="Arial"/>
        </w:rPr>
        <w:t>,</w:t>
      </w:r>
      <w:r w:rsidR="00C47E89" w:rsidRPr="001D2ADB">
        <w:rPr>
          <w:rFonts w:ascii="Arial" w:hAnsi="Arial" w:cs="Arial"/>
        </w:rPr>
        <w:t xml:space="preserve"> </w:t>
      </w:r>
      <w:r w:rsidRPr="001D2ADB">
        <w:rPr>
          <w:rFonts w:ascii="Arial" w:hAnsi="Arial" w:cs="Arial"/>
        </w:rPr>
        <w:t xml:space="preserve">demonstrating </w:t>
      </w:r>
      <w:r w:rsidR="00C47E89" w:rsidRPr="001D2ADB">
        <w:rPr>
          <w:rFonts w:ascii="Arial" w:hAnsi="Arial" w:cs="Arial"/>
        </w:rPr>
        <w:t xml:space="preserve">safety over the </w:t>
      </w:r>
      <w:r w:rsidR="006A6C95" w:rsidRPr="001D2ADB">
        <w:rPr>
          <w:rFonts w:ascii="Arial" w:hAnsi="Arial" w:cs="Arial"/>
        </w:rPr>
        <w:t>10-year</w:t>
      </w:r>
      <w:r w:rsidR="00C47E89" w:rsidRPr="001D2ADB">
        <w:rPr>
          <w:rFonts w:ascii="Arial" w:hAnsi="Arial" w:cs="Arial"/>
        </w:rPr>
        <w:t xml:space="preserve"> treatment period. The authors do note; however, that the study was underpowered to detect the occurrence of rare events</w:t>
      </w:r>
      <w:r w:rsidR="00F675E1" w:rsidRPr="001D2ADB">
        <w:rPr>
          <w:rFonts w:ascii="Arial" w:hAnsi="Arial" w:cs="Arial"/>
        </w:rPr>
        <w:t xml:space="preserve"> (36).</w:t>
      </w:r>
    </w:p>
    <w:p w14:paraId="79BCD268" w14:textId="77777777" w:rsidR="00474DCD" w:rsidRPr="001D2ADB" w:rsidRDefault="00474DCD" w:rsidP="001D2ADB">
      <w:pPr>
        <w:autoSpaceDE w:val="0"/>
        <w:autoSpaceDN w:val="0"/>
        <w:adjustRightInd w:val="0"/>
        <w:spacing w:after="0"/>
        <w:rPr>
          <w:rFonts w:ascii="Arial" w:hAnsi="Arial" w:cs="Arial"/>
        </w:rPr>
      </w:pPr>
    </w:p>
    <w:p w14:paraId="651401DF" w14:textId="5ADFC7BA" w:rsidR="006D6688" w:rsidRPr="001D2ADB" w:rsidRDefault="00075623" w:rsidP="001D2ADB">
      <w:pPr>
        <w:autoSpaceDE w:val="0"/>
        <w:autoSpaceDN w:val="0"/>
        <w:adjustRightInd w:val="0"/>
        <w:spacing w:after="0"/>
        <w:rPr>
          <w:rFonts w:ascii="Arial" w:hAnsi="Arial" w:cs="Arial"/>
        </w:rPr>
      </w:pPr>
      <w:r w:rsidRPr="001D2ADB">
        <w:rPr>
          <w:rFonts w:ascii="Arial" w:hAnsi="Arial" w:cs="Arial"/>
        </w:rPr>
        <w:t>When initiating HMG-CoA reductase inhibitor therapy, as with any new medication therapy, it is imperative for clinicians to establish a</w:t>
      </w:r>
      <w:r w:rsidR="00303A7C" w:rsidRPr="001D2ADB">
        <w:rPr>
          <w:rFonts w:ascii="Arial" w:hAnsi="Arial" w:cs="Arial"/>
        </w:rPr>
        <w:t>n accurate baseline</w:t>
      </w:r>
      <w:r w:rsidRPr="001D2ADB">
        <w:rPr>
          <w:rFonts w:ascii="Arial" w:hAnsi="Arial" w:cs="Arial"/>
        </w:rPr>
        <w:t>,</w:t>
      </w:r>
      <w:r w:rsidR="003735B8" w:rsidRPr="001D2ADB">
        <w:rPr>
          <w:rFonts w:ascii="Arial" w:hAnsi="Arial" w:cs="Arial"/>
        </w:rPr>
        <w:t xml:space="preserve"> monitor for new</w:t>
      </w:r>
      <w:r w:rsidRPr="001D2ADB">
        <w:rPr>
          <w:rFonts w:ascii="Arial" w:hAnsi="Arial" w:cs="Arial"/>
        </w:rPr>
        <w:t xml:space="preserve"> symptoms, and counsel both patients and family members regarding potential adverse events</w:t>
      </w:r>
      <w:r w:rsidR="003735B8" w:rsidRPr="001D2ADB">
        <w:rPr>
          <w:rFonts w:ascii="Arial" w:hAnsi="Arial" w:cs="Arial"/>
        </w:rPr>
        <w:t>. Females should be informed about the need to avoid pregnancy and breastfeeding while using statins</w:t>
      </w:r>
      <w:r w:rsidRPr="001D2ADB">
        <w:rPr>
          <w:rFonts w:ascii="Arial" w:hAnsi="Arial" w:cs="Arial"/>
        </w:rPr>
        <w:t xml:space="preserve">. Statins may be </w:t>
      </w:r>
      <w:r w:rsidR="00303A7C" w:rsidRPr="001D2ADB">
        <w:rPr>
          <w:rFonts w:ascii="Arial" w:hAnsi="Arial" w:cs="Arial"/>
        </w:rPr>
        <w:t>taken</w:t>
      </w:r>
      <w:r w:rsidRPr="001D2ADB">
        <w:rPr>
          <w:rFonts w:ascii="Arial" w:hAnsi="Arial" w:cs="Arial"/>
        </w:rPr>
        <w:t xml:space="preserve"> with or without meals, but are</w:t>
      </w:r>
      <w:r w:rsidR="003735B8" w:rsidRPr="001D2ADB">
        <w:rPr>
          <w:rFonts w:ascii="Arial" w:hAnsi="Arial" w:cs="Arial"/>
        </w:rPr>
        <w:t xml:space="preserve"> commonly</w:t>
      </w:r>
      <w:r w:rsidRPr="001D2ADB">
        <w:rPr>
          <w:rFonts w:ascii="Arial" w:hAnsi="Arial" w:cs="Arial"/>
        </w:rPr>
        <w:t xml:space="preserve"> given with the evening meal or at </w:t>
      </w:r>
      <w:r w:rsidRPr="001D2ADB">
        <w:rPr>
          <w:rFonts w:ascii="Arial" w:hAnsi="Arial" w:cs="Arial"/>
        </w:rPr>
        <w:lastRenderedPageBreak/>
        <w:t>bedtime as this has the potential to improve LDL-C reduction</w:t>
      </w:r>
      <w:r w:rsidR="004D16AF" w:rsidRPr="001D2ADB">
        <w:rPr>
          <w:rFonts w:ascii="Arial" w:hAnsi="Arial" w:cs="Arial"/>
        </w:rPr>
        <w:t xml:space="preserve"> (3</w:t>
      </w:r>
      <w:r w:rsidR="00F0157D" w:rsidRPr="001D2ADB">
        <w:rPr>
          <w:rFonts w:ascii="Arial" w:hAnsi="Arial" w:cs="Arial"/>
        </w:rPr>
        <w:t>8</w:t>
      </w:r>
      <w:r w:rsidR="004D16AF" w:rsidRPr="001D2ADB">
        <w:rPr>
          <w:rFonts w:ascii="Arial" w:hAnsi="Arial" w:cs="Arial"/>
        </w:rPr>
        <w:t>)</w:t>
      </w:r>
      <w:r w:rsidRPr="001D2ADB">
        <w:rPr>
          <w:rFonts w:ascii="Arial" w:hAnsi="Arial" w:cs="Arial"/>
        </w:rPr>
        <w:t xml:space="preserve">. As a major substrate </w:t>
      </w:r>
      <w:r w:rsidR="006A6C95" w:rsidRPr="001D2ADB">
        <w:rPr>
          <w:rFonts w:ascii="Arial" w:hAnsi="Arial" w:cs="Arial"/>
        </w:rPr>
        <w:t>of P</w:t>
      </w:r>
      <w:r w:rsidR="00A9166A" w:rsidRPr="001D2ADB">
        <w:rPr>
          <w:rFonts w:ascii="Arial" w:hAnsi="Arial" w:cs="Arial"/>
        </w:rPr>
        <w:t>450</w:t>
      </w:r>
      <w:r w:rsidR="00303A7C" w:rsidRPr="001D2ADB">
        <w:rPr>
          <w:rFonts w:ascii="Arial" w:hAnsi="Arial" w:cs="Arial"/>
        </w:rPr>
        <w:t xml:space="preserve">, such as </w:t>
      </w:r>
      <w:r w:rsidRPr="001D2ADB">
        <w:rPr>
          <w:rFonts w:ascii="Arial" w:hAnsi="Arial" w:cs="Arial"/>
        </w:rPr>
        <w:t xml:space="preserve">CYP3A4, there are multiple drug interactions associated with statin therapy.  </w:t>
      </w:r>
      <w:r w:rsidR="00DA6BE5" w:rsidRPr="001D2ADB">
        <w:rPr>
          <w:rFonts w:ascii="Arial" w:hAnsi="Arial" w:cs="Arial"/>
        </w:rPr>
        <w:t xml:space="preserve">Grapefruit juice has gained considerable notoriety as a potential food interaction; </w:t>
      </w:r>
      <w:r w:rsidR="00A9166A" w:rsidRPr="001D2ADB">
        <w:rPr>
          <w:rFonts w:ascii="Arial" w:hAnsi="Arial" w:cs="Arial"/>
        </w:rPr>
        <w:t>however</w:t>
      </w:r>
      <w:r w:rsidR="00470B6C" w:rsidRPr="001D2ADB">
        <w:rPr>
          <w:rFonts w:ascii="Arial" w:hAnsi="Arial" w:cs="Arial"/>
        </w:rPr>
        <w:t>,</w:t>
      </w:r>
      <w:r w:rsidR="00A9166A" w:rsidRPr="001D2ADB">
        <w:rPr>
          <w:rFonts w:ascii="Arial" w:hAnsi="Arial" w:cs="Arial"/>
        </w:rPr>
        <w:t xml:space="preserve"> it should be noted that </w:t>
      </w:r>
      <w:r w:rsidR="00DA6BE5" w:rsidRPr="001D2ADB">
        <w:rPr>
          <w:rFonts w:ascii="Arial" w:hAnsi="Arial" w:cs="Arial"/>
        </w:rPr>
        <w:t xml:space="preserve">more than a quart of grapefruit juice </w:t>
      </w:r>
      <w:r w:rsidR="003735B8" w:rsidRPr="001D2ADB">
        <w:rPr>
          <w:rFonts w:ascii="Arial" w:hAnsi="Arial" w:cs="Arial"/>
        </w:rPr>
        <w:t xml:space="preserve">would have to be consumed </w:t>
      </w:r>
      <w:r w:rsidR="00DA6BE5" w:rsidRPr="001D2ADB">
        <w:rPr>
          <w:rFonts w:ascii="Arial" w:hAnsi="Arial" w:cs="Arial"/>
        </w:rPr>
        <w:t xml:space="preserve">to increase serum statin levels. </w:t>
      </w:r>
      <w:r w:rsidR="00A9166A" w:rsidRPr="001D2ADB">
        <w:rPr>
          <w:rFonts w:ascii="Arial" w:hAnsi="Arial" w:cs="Arial"/>
        </w:rPr>
        <w:t xml:space="preserve">Of </w:t>
      </w:r>
      <w:r w:rsidR="00DA6BE5" w:rsidRPr="001D2ADB">
        <w:rPr>
          <w:rFonts w:ascii="Arial" w:hAnsi="Arial" w:cs="Arial"/>
        </w:rPr>
        <w:t>more concern</w:t>
      </w:r>
      <w:r w:rsidR="00A9166A" w:rsidRPr="001D2ADB">
        <w:rPr>
          <w:rFonts w:ascii="Arial" w:hAnsi="Arial" w:cs="Arial"/>
        </w:rPr>
        <w:t xml:space="preserve"> is the</w:t>
      </w:r>
      <w:r w:rsidR="00DA6BE5" w:rsidRPr="001D2ADB">
        <w:rPr>
          <w:rFonts w:ascii="Arial" w:hAnsi="Arial" w:cs="Arial"/>
        </w:rPr>
        <w:t xml:space="preserve"> possible interaction of </w:t>
      </w:r>
      <w:r w:rsidR="004D16AF" w:rsidRPr="001D2ADB">
        <w:rPr>
          <w:rFonts w:ascii="Arial" w:hAnsi="Arial" w:cs="Arial"/>
        </w:rPr>
        <w:t>gemfibrozil</w:t>
      </w:r>
      <w:r w:rsidR="00DA6BE5" w:rsidRPr="001D2ADB">
        <w:rPr>
          <w:rFonts w:ascii="Arial" w:hAnsi="Arial" w:cs="Arial"/>
        </w:rPr>
        <w:t xml:space="preserve"> and statins</w:t>
      </w:r>
      <w:r w:rsidR="00A9166A" w:rsidRPr="001D2ADB">
        <w:rPr>
          <w:rFonts w:ascii="Arial" w:hAnsi="Arial" w:cs="Arial"/>
        </w:rPr>
        <w:t>,</w:t>
      </w:r>
      <w:r w:rsidR="00DA6BE5" w:rsidRPr="001D2ADB">
        <w:rPr>
          <w:rFonts w:ascii="Arial" w:hAnsi="Arial" w:cs="Arial"/>
        </w:rPr>
        <w:t xml:space="preserve"> which should either be avoided as it can increase the toxicity of HMG-CoA reductase inhibitors. Macrolides</w:t>
      </w:r>
      <w:r w:rsidR="009D1EC6" w:rsidRPr="001D2ADB">
        <w:rPr>
          <w:rFonts w:ascii="Arial" w:hAnsi="Arial" w:cs="Arial"/>
        </w:rPr>
        <w:t xml:space="preserve"> and antifungal azoles are</w:t>
      </w:r>
      <w:r w:rsidR="00DA6BE5" w:rsidRPr="001D2ADB">
        <w:rPr>
          <w:rFonts w:ascii="Arial" w:hAnsi="Arial" w:cs="Arial"/>
        </w:rPr>
        <w:t xml:space="preserve"> class</w:t>
      </w:r>
      <w:r w:rsidR="009D1EC6" w:rsidRPr="001D2ADB">
        <w:rPr>
          <w:rFonts w:ascii="Arial" w:hAnsi="Arial" w:cs="Arial"/>
        </w:rPr>
        <w:t>es</w:t>
      </w:r>
      <w:r w:rsidR="00DA6BE5" w:rsidRPr="001D2ADB">
        <w:rPr>
          <w:rFonts w:ascii="Arial" w:hAnsi="Arial" w:cs="Arial"/>
        </w:rPr>
        <w:t xml:space="preserve"> of drugs commonly prescribed to children, </w:t>
      </w:r>
      <w:r w:rsidR="00144D14" w:rsidRPr="001D2ADB">
        <w:rPr>
          <w:rFonts w:ascii="Arial" w:hAnsi="Arial" w:cs="Arial"/>
        </w:rPr>
        <w:t xml:space="preserve">and </w:t>
      </w:r>
      <w:r w:rsidR="009D1EC6" w:rsidRPr="001D2ADB">
        <w:rPr>
          <w:rFonts w:ascii="Arial" w:hAnsi="Arial" w:cs="Arial"/>
        </w:rPr>
        <w:t xml:space="preserve">they </w:t>
      </w:r>
      <w:r w:rsidR="00DA6BE5" w:rsidRPr="001D2ADB">
        <w:rPr>
          <w:rFonts w:ascii="Arial" w:hAnsi="Arial" w:cs="Arial"/>
        </w:rPr>
        <w:t>should be avoided as</w:t>
      </w:r>
      <w:r w:rsidR="009D1EC6" w:rsidRPr="001D2ADB">
        <w:rPr>
          <w:rFonts w:ascii="Arial" w:hAnsi="Arial" w:cs="Arial"/>
        </w:rPr>
        <w:t xml:space="preserve"> often as possible as</w:t>
      </w:r>
      <w:r w:rsidR="00DA6BE5" w:rsidRPr="001D2ADB">
        <w:rPr>
          <w:rFonts w:ascii="Arial" w:hAnsi="Arial" w:cs="Arial"/>
        </w:rPr>
        <w:t xml:space="preserve"> they increase serum statin levels leading to potentially enhanced myopathic effects. Additionally, patients should avoid </w:t>
      </w:r>
      <w:r w:rsidR="003735B8" w:rsidRPr="001D2ADB">
        <w:rPr>
          <w:rFonts w:ascii="Arial" w:hAnsi="Arial" w:cs="Arial"/>
          <w:bCs/>
        </w:rPr>
        <w:t xml:space="preserve">herbal products and nutraceuticals, </w:t>
      </w:r>
      <w:r w:rsidR="00DA6BE5" w:rsidRPr="001D2ADB">
        <w:rPr>
          <w:rFonts w:ascii="Arial" w:hAnsi="Arial" w:cs="Arial"/>
        </w:rPr>
        <w:t>such as red yeast rice</w:t>
      </w:r>
      <w:r w:rsidR="003735B8" w:rsidRPr="001D2ADB">
        <w:rPr>
          <w:rFonts w:ascii="Arial" w:hAnsi="Arial" w:cs="Arial"/>
        </w:rPr>
        <w:t>,</w:t>
      </w:r>
      <w:r w:rsidR="00DA6BE5" w:rsidRPr="001D2ADB">
        <w:rPr>
          <w:rFonts w:ascii="Arial" w:hAnsi="Arial" w:cs="Arial"/>
        </w:rPr>
        <w:t xml:space="preserve"> which may further enhance adverse effects.</w:t>
      </w:r>
    </w:p>
    <w:p w14:paraId="3B2DCDE8" w14:textId="77777777" w:rsidR="005C50CE" w:rsidRPr="001D2ADB" w:rsidRDefault="005C50CE" w:rsidP="001D2ADB">
      <w:pPr>
        <w:spacing w:after="0"/>
        <w:outlineLvl w:val="0"/>
        <w:rPr>
          <w:rFonts w:ascii="Arial" w:hAnsi="Arial" w:cs="Arial"/>
        </w:rPr>
      </w:pPr>
    </w:p>
    <w:p w14:paraId="2839C266" w14:textId="38449C52" w:rsidR="00375B2B" w:rsidRPr="001D2ADB" w:rsidRDefault="00375B2B" w:rsidP="001D2ADB">
      <w:pPr>
        <w:spacing w:after="0"/>
        <w:outlineLvl w:val="0"/>
        <w:rPr>
          <w:rFonts w:ascii="Arial" w:hAnsi="Arial" w:cs="Arial"/>
          <w:b/>
          <w:bCs/>
          <w:color w:val="0070C0"/>
        </w:rPr>
      </w:pPr>
      <w:r w:rsidRPr="001D2ADB">
        <w:rPr>
          <w:rFonts w:ascii="Arial" w:hAnsi="Arial" w:cs="Arial"/>
          <w:b/>
          <w:bCs/>
          <w:color w:val="0070C0"/>
        </w:rPr>
        <w:t>BILE ACID SEQUESTRANTS</w:t>
      </w:r>
    </w:p>
    <w:p w14:paraId="1682FF1A" w14:textId="77777777" w:rsidR="00474DCD" w:rsidRPr="001D2ADB" w:rsidRDefault="00474DCD" w:rsidP="001D2ADB">
      <w:pPr>
        <w:autoSpaceDE w:val="0"/>
        <w:autoSpaceDN w:val="0"/>
        <w:adjustRightInd w:val="0"/>
        <w:spacing w:after="0"/>
        <w:rPr>
          <w:rFonts w:ascii="Arial" w:hAnsi="Arial" w:cs="Arial"/>
        </w:rPr>
      </w:pPr>
    </w:p>
    <w:p w14:paraId="4AE3994C" w14:textId="0E526317" w:rsidR="00375B2B" w:rsidRPr="001D2ADB" w:rsidRDefault="00375B2B" w:rsidP="001D2ADB">
      <w:pPr>
        <w:autoSpaceDE w:val="0"/>
        <w:autoSpaceDN w:val="0"/>
        <w:adjustRightInd w:val="0"/>
        <w:spacing w:after="0"/>
        <w:rPr>
          <w:rFonts w:ascii="Arial" w:hAnsi="Arial" w:cs="Arial"/>
          <w:vertAlign w:val="superscript"/>
        </w:rPr>
      </w:pPr>
      <w:r w:rsidRPr="001D2ADB">
        <w:rPr>
          <w:rFonts w:ascii="Arial" w:hAnsi="Arial" w:cs="Arial"/>
        </w:rPr>
        <w:t xml:space="preserve">Bile acid sequestrants, or bile acid binding resins, present an additional treatment option for </w:t>
      </w:r>
      <w:r w:rsidR="00A9166A" w:rsidRPr="001D2ADB">
        <w:rPr>
          <w:rFonts w:ascii="Arial" w:hAnsi="Arial" w:cs="Arial"/>
        </w:rPr>
        <w:t>youth</w:t>
      </w:r>
      <w:r w:rsidR="003735B8" w:rsidRPr="001D2ADB">
        <w:rPr>
          <w:rFonts w:ascii="Arial" w:hAnsi="Arial" w:cs="Arial"/>
        </w:rPr>
        <w:t xml:space="preserve"> with severe dyslipidemia</w:t>
      </w:r>
      <w:r w:rsidR="007A4793" w:rsidRPr="001D2ADB">
        <w:rPr>
          <w:rFonts w:ascii="Arial" w:hAnsi="Arial" w:cs="Arial"/>
        </w:rPr>
        <w:t>.</w:t>
      </w:r>
      <w:r w:rsidRPr="001D2ADB">
        <w:rPr>
          <w:rFonts w:ascii="Arial" w:hAnsi="Arial" w:cs="Arial"/>
        </w:rPr>
        <w:t xml:space="preserve"> Bile acid sequestrants represent one of the oldest classes of medications </w:t>
      </w:r>
      <w:r w:rsidR="00A9166A" w:rsidRPr="001D2ADB">
        <w:rPr>
          <w:rFonts w:ascii="Arial" w:hAnsi="Arial" w:cs="Arial"/>
        </w:rPr>
        <w:t>available to treat dyslipidemia</w:t>
      </w:r>
      <w:r w:rsidRPr="001D2ADB">
        <w:rPr>
          <w:rFonts w:ascii="Arial" w:hAnsi="Arial" w:cs="Arial"/>
        </w:rPr>
        <w:t xml:space="preserve"> and were the only medication recommended in the 1992 NCEP Pediatric Panel Report, </w:t>
      </w:r>
      <w:r w:rsidR="00A9166A" w:rsidRPr="001D2ADB">
        <w:rPr>
          <w:rFonts w:ascii="Arial" w:hAnsi="Arial" w:cs="Arial"/>
        </w:rPr>
        <w:t>at a time when</w:t>
      </w:r>
      <w:r w:rsidRPr="001D2ADB">
        <w:rPr>
          <w:rFonts w:ascii="Arial" w:hAnsi="Arial" w:cs="Arial"/>
        </w:rPr>
        <w:t xml:space="preserve"> no data were available for statin use in </w:t>
      </w:r>
      <w:r w:rsidR="00A9166A" w:rsidRPr="001D2ADB">
        <w:rPr>
          <w:rFonts w:ascii="Arial" w:hAnsi="Arial" w:cs="Arial"/>
        </w:rPr>
        <w:t>youth</w:t>
      </w:r>
      <w:r w:rsidR="004D16AF" w:rsidRPr="001D2ADB">
        <w:rPr>
          <w:rFonts w:ascii="Arial" w:hAnsi="Arial" w:cs="Arial"/>
        </w:rPr>
        <w:t xml:space="preserve"> (4)</w:t>
      </w:r>
      <w:r w:rsidRPr="001D2ADB">
        <w:rPr>
          <w:rFonts w:ascii="Arial" w:hAnsi="Arial" w:cs="Arial"/>
        </w:rPr>
        <w:t xml:space="preserve">. While no longer a </w:t>
      </w:r>
      <w:r w:rsidR="00A9166A" w:rsidRPr="001D2ADB">
        <w:rPr>
          <w:rFonts w:ascii="Arial" w:hAnsi="Arial" w:cs="Arial"/>
        </w:rPr>
        <w:t xml:space="preserve">recommended </w:t>
      </w:r>
      <w:r w:rsidRPr="001D2ADB">
        <w:rPr>
          <w:rFonts w:ascii="Arial" w:hAnsi="Arial" w:cs="Arial"/>
        </w:rPr>
        <w:t>first-line therapy, bile acid sequestrants do have potential as a treatment option either alone or in combination with a statin</w:t>
      </w:r>
      <w:r w:rsidR="004D16AF" w:rsidRPr="001D2ADB">
        <w:rPr>
          <w:rFonts w:ascii="Arial" w:hAnsi="Arial" w:cs="Arial"/>
        </w:rPr>
        <w:t xml:space="preserve"> (9, 10)</w:t>
      </w:r>
      <w:r w:rsidRPr="001D2ADB">
        <w:rPr>
          <w:rFonts w:ascii="Arial" w:hAnsi="Arial" w:cs="Arial"/>
        </w:rPr>
        <w:t>.</w:t>
      </w:r>
      <w:r w:rsidR="003735B8" w:rsidRPr="001D2ADB">
        <w:rPr>
          <w:rFonts w:ascii="Arial" w:hAnsi="Arial" w:cs="Arial"/>
        </w:rPr>
        <w:t xml:space="preserve"> At present</w:t>
      </w:r>
      <w:r w:rsidRPr="001D2ADB">
        <w:rPr>
          <w:rFonts w:ascii="Arial" w:hAnsi="Arial" w:cs="Arial"/>
        </w:rPr>
        <w:t xml:space="preserve">, colesevelam is the only bile acid sequestrant with FDA approval for </w:t>
      </w:r>
      <w:r w:rsidR="00A9166A" w:rsidRPr="001D2ADB">
        <w:rPr>
          <w:rFonts w:ascii="Arial" w:hAnsi="Arial" w:cs="Arial"/>
        </w:rPr>
        <w:t>youth age 10 years and older</w:t>
      </w:r>
      <w:r w:rsidRPr="001D2ADB">
        <w:rPr>
          <w:rFonts w:ascii="Arial" w:hAnsi="Arial" w:cs="Arial"/>
        </w:rPr>
        <w:t xml:space="preserve"> with heterozygous familial hypercholesterolemia</w:t>
      </w:r>
      <w:r w:rsidR="004D16AF" w:rsidRPr="001D2ADB">
        <w:rPr>
          <w:rFonts w:ascii="Arial" w:hAnsi="Arial" w:cs="Arial"/>
        </w:rPr>
        <w:t xml:space="preserve"> (3</w:t>
      </w:r>
      <w:r w:rsidR="00F0157D" w:rsidRPr="001D2ADB">
        <w:rPr>
          <w:rFonts w:ascii="Arial" w:hAnsi="Arial" w:cs="Arial"/>
        </w:rPr>
        <w:t>9</w:t>
      </w:r>
      <w:r w:rsidR="004D16AF" w:rsidRPr="001D2ADB">
        <w:rPr>
          <w:rFonts w:ascii="Arial" w:hAnsi="Arial" w:cs="Arial"/>
        </w:rPr>
        <w:t xml:space="preserve">, </w:t>
      </w:r>
      <w:r w:rsidR="00F0157D" w:rsidRPr="001D2ADB">
        <w:rPr>
          <w:rFonts w:ascii="Arial" w:hAnsi="Arial" w:cs="Arial"/>
        </w:rPr>
        <w:t>40</w:t>
      </w:r>
      <w:r w:rsidR="004D16AF" w:rsidRPr="001D2ADB">
        <w:rPr>
          <w:rFonts w:ascii="Arial" w:hAnsi="Arial" w:cs="Arial"/>
        </w:rPr>
        <w:t>)</w:t>
      </w:r>
      <w:r w:rsidRPr="001D2ADB">
        <w:rPr>
          <w:rFonts w:ascii="Arial" w:hAnsi="Arial" w:cs="Arial"/>
        </w:rPr>
        <w:t>. Despite the lack of FDA approval, both colestipol and ch</w:t>
      </w:r>
      <w:r w:rsidR="003735B8" w:rsidRPr="001D2ADB">
        <w:rPr>
          <w:rFonts w:ascii="Arial" w:hAnsi="Arial" w:cs="Arial"/>
        </w:rPr>
        <w:t xml:space="preserve">olestyramine have been </w:t>
      </w:r>
      <w:r w:rsidRPr="001D2ADB">
        <w:rPr>
          <w:rFonts w:ascii="Arial" w:hAnsi="Arial" w:cs="Arial"/>
        </w:rPr>
        <w:t>studied in pediatric patients</w:t>
      </w:r>
      <w:r w:rsidR="00F0157D" w:rsidRPr="001D2ADB">
        <w:rPr>
          <w:rFonts w:ascii="Arial" w:hAnsi="Arial" w:cs="Arial"/>
        </w:rPr>
        <w:t xml:space="preserve"> (41</w:t>
      </w:r>
      <w:r w:rsidR="004D16AF" w:rsidRPr="001D2ADB">
        <w:rPr>
          <w:rFonts w:ascii="Arial" w:hAnsi="Arial" w:cs="Arial"/>
        </w:rPr>
        <w:t>-4</w:t>
      </w:r>
      <w:r w:rsidR="00F0157D" w:rsidRPr="001D2ADB">
        <w:rPr>
          <w:rFonts w:ascii="Arial" w:hAnsi="Arial" w:cs="Arial"/>
        </w:rPr>
        <w:t>9</w:t>
      </w:r>
      <w:r w:rsidR="004D16AF" w:rsidRPr="001D2ADB">
        <w:rPr>
          <w:rFonts w:ascii="Arial" w:hAnsi="Arial" w:cs="Arial"/>
        </w:rPr>
        <w:t>)</w:t>
      </w:r>
      <w:r w:rsidRPr="001D2ADB">
        <w:rPr>
          <w:rFonts w:ascii="Arial" w:hAnsi="Arial" w:cs="Arial"/>
        </w:rPr>
        <w:t>.</w:t>
      </w:r>
    </w:p>
    <w:p w14:paraId="0F2BCD23" w14:textId="77777777" w:rsidR="00474DCD" w:rsidRPr="001D2ADB" w:rsidRDefault="00474DCD" w:rsidP="001D2ADB">
      <w:pPr>
        <w:autoSpaceDE w:val="0"/>
        <w:autoSpaceDN w:val="0"/>
        <w:adjustRightInd w:val="0"/>
        <w:spacing w:after="0"/>
        <w:rPr>
          <w:rFonts w:ascii="Arial" w:hAnsi="Arial" w:cs="Arial"/>
        </w:rPr>
      </w:pPr>
    </w:p>
    <w:p w14:paraId="187CD513" w14:textId="022526DE" w:rsidR="00DB1F16" w:rsidRPr="001D2ADB" w:rsidRDefault="00375B2B" w:rsidP="001D2ADB">
      <w:pPr>
        <w:autoSpaceDE w:val="0"/>
        <w:autoSpaceDN w:val="0"/>
        <w:adjustRightInd w:val="0"/>
        <w:spacing w:after="0"/>
        <w:rPr>
          <w:rFonts w:ascii="Arial" w:hAnsi="Arial" w:cs="Arial"/>
          <w:vertAlign w:val="superscript"/>
        </w:rPr>
      </w:pPr>
      <w:r w:rsidRPr="001D2ADB">
        <w:rPr>
          <w:rFonts w:ascii="Arial" w:hAnsi="Arial" w:cs="Arial"/>
        </w:rPr>
        <w:t>A number of clinical trials have evaluated the bile acid sequestrants in pediatric patients with heterozygous familial hypercholesterolemi</w:t>
      </w:r>
      <w:r w:rsidR="003735B8" w:rsidRPr="001D2ADB">
        <w:rPr>
          <w:rFonts w:ascii="Arial" w:hAnsi="Arial" w:cs="Arial"/>
        </w:rPr>
        <w:t xml:space="preserve">a and other </w:t>
      </w:r>
      <w:r w:rsidR="00A9166A" w:rsidRPr="001D2ADB">
        <w:rPr>
          <w:rFonts w:ascii="Arial" w:hAnsi="Arial" w:cs="Arial"/>
        </w:rPr>
        <w:t xml:space="preserve">forms of </w:t>
      </w:r>
      <w:r w:rsidR="003735B8" w:rsidRPr="001D2ADB">
        <w:rPr>
          <w:rFonts w:ascii="Arial" w:hAnsi="Arial" w:cs="Arial"/>
        </w:rPr>
        <w:t>severe dyslipidemia</w:t>
      </w:r>
      <w:r w:rsidRPr="001D2ADB">
        <w:rPr>
          <w:rFonts w:ascii="Arial" w:hAnsi="Arial" w:cs="Arial"/>
        </w:rPr>
        <w:t xml:space="preserve">. While palatability and tolerance remain potential barriers to effective therapy, in general, bile acid sequestrants </w:t>
      </w:r>
      <w:r w:rsidR="00A9166A" w:rsidRPr="001D2ADB">
        <w:rPr>
          <w:rFonts w:ascii="Arial" w:hAnsi="Arial" w:cs="Arial"/>
        </w:rPr>
        <w:t xml:space="preserve">have </w:t>
      </w:r>
      <w:r w:rsidRPr="001D2ADB">
        <w:rPr>
          <w:rFonts w:ascii="Arial" w:hAnsi="Arial" w:cs="Arial"/>
        </w:rPr>
        <w:t xml:space="preserve">demonstrate </w:t>
      </w:r>
      <w:r w:rsidR="00A9166A" w:rsidRPr="001D2ADB">
        <w:rPr>
          <w:rFonts w:ascii="Arial" w:hAnsi="Arial" w:cs="Arial"/>
        </w:rPr>
        <w:t xml:space="preserve">significant </w:t>
      </w:r>
      <w:r w:rsidRPr="001D2ADB">
        <w:rPr>
          <w:rFonts w:ascii="Arial" w:hAnsi="Arial" w:cs="Arial"/>
        </w:rPr>
        <w:t>reductions in both total cholesterol and LDL-cholesterol in study subjects</w:t>
      </w:r>
      <w:r w:rsidR="002A4FEE" w:rsidRPr="001D2ADB">
        <w:rPr>
          <w:rFonts w:ascii="Arial" w:hAnsi="Arial" w:cs="Arial"/>
        </w:rPr>
        <w:t xml:space="preserve"> </w:t>
      </w:r>
      <w:bookmarkStart w:id="4" w:name="_Hlk137030885"/>
      <w:r w:rsidR="00F0157D" w:rsidRPr="001D2ADB">
        <w:rPr>
          <w:rFonts w:ascii="Arial" w:hAnsi="Arial" w:cs="Arial"/>
        </w:rPr>
        <w:t>(40</w:t>
      </w:r>
      <w:r w:rsidR="002A4FEE" w:rsidRPr="001D2ADB">
        <w:rPr>
          <w:rFonts w:ascii="Arial" w:hAnsi="Arial" w:cs="Arial"/>
        </w:rPr>
        <w:t xml:space="preserve">, </w:t>
      </w:r>
      <w:r w:rsidR="00F0157D" w:rsidRPr="001D2ADB">
        <w:rPr>
          <w:rFonts w:ascii="Arial" w:hAnsi="Arial" w:cs="Arial"/>
        </w:rPr>
        <w:t>43</w:t>
      </w:r>
      <w:r w:rsidR="002A4FEE" w:rsidRPr="001D2ADB">
        <w:rPr>
          <w:rFonts w:ascii="Arial" w:hAnsi="Arial" w:cs="Arial"/>
        </w:rPr>
        <w:t>, 44,</w:t>
      </w:r>
      <w:r w:rsidR="00F0157D" w:rsidRPr="001D2ADB">
        <w:rPr>
          <w:rFonts w:ascii="Arial" w:hAnsi="Arial" w:cs="Arial"/>
        </w:rPr>
        <w:t xml:space="preserve"> 48,</w:t>
      </w:r>
      <w:r w:rsidR="002A4FEE" w:rsidRPr="001D2ADB">
        <w:rPr>
          <w:rFonts w:ascii="Arial" w:hAnsi="Arial" w:cs="Arial"/>
        </w:rPr>
        <w:t xml:space="preserve"> 4</w:t>
      </w:r>
      <w:bookmarkEnd w:id="4"/>
      <w:r w:rsidR="00F0157D" w:rsidRPr="001D2ADB">
        <w:rPr>
          <w:rFonts w:ascii="Arial" w:hAnsi="Arial" w:cs="Arial"/>
        </w:rPr>
        <w:t>9</w:t>
      </w:r>
      <w:r w:rsidR="002A4FEE" w:rsidRPr="001D2ADB">
        <w:rPr>
          <w:rFonts w:ascii="Arial" w:hAnsi="Arial" w:cs="Arial"/>
        </w:rPr>
        <w:t>)</w:t>
      </w:r>
      <w:r w:rsidRPr="001D2ADB">
        <w:rPr>
          <w:rFonts w:ascii="Arial" w:hAnsi="Arial" w:cs="Arial"/>
        </w:rPr>
        <w:t>.</w:t>
      </w:r>
      <w:r w:rsidR="006A6C95" w:rsidRPr="001D2ADB">
        <w:rPr>
          <w:rFonts w:ascii="Arial" w:hAnsi="Arial" w:cs="Arial"/>
        </w:rPr>
        <w:t xml:space="preserve"> Table</w:t>
      </w:r>
      <w:r w:rsidRPr="001D2ADB">
        <w:rPr>
          <w:rFonts w:ascii="Arial" w:hAnsi="Arial" w:cs="Arial"/>
        </w:rPr>
        <w:t xml:space="preserve"> </w:t>
      </w:r>
      <w:r w:rsidR="00C0795F" w:rsidRPr="001D2ADB">
        <w:rPr>
          <w:rFonts w:ascii="Arial" w:hAnsi="Arial" w:cs="Arial"/>
        </w:rPr>
        <w:t>5</w:t>
      </w:r>
      <w:r w:rsidRPr="001D2ADB">
        <w:rPr>
          <w:rFonts w:ascii="Arial" w:hAnsi="Arial" w:cs="Arial"/>
        </w:rPr>
        <w:t xml:space="preserve"> provides a summary of bile acid sequestrants, pediatric approval and indications, recommended dosing ranges, comments on therapy, and supporting clinical trials.</w:t>
      </w:r>
      <w:r w:rsidR="00DB1F16" w:rsidRPr="001D2ADB">
        <w:rPr>
          <w:rFonts w:ascii="Arial" w:hAnsi="Arial" w:cs="Arial"/>
        </w:rPr>
        <w:t xml:space="preserve"> As outlined in Table 6,</w:t>
      </w:r>
      <w:r w:rsidR="00251DDC" w:rsidRPr="001D2ADB">
        <w:rPr>
          <w:rFonts w:ascii="Arial" w:hAnsi="Arial" w:cs="Arial"/>
        </w:rPr>
        <w:t xml:space="preserve"> studies demonstrated some v</w:t>
      </w:r>
      <w:r w:rsidR="00DB1F16" w:rsidRPr="001D2ADB">
        <w:rPr>
          <w:rFonts w:ascii="Arial" w:hAnsi="Arial" w:cs="Arial"/>
        </w:rPr>
        <w:t>ariability in efficacy for the available bile acid sequestrants</w:t>
      </w:r>
      <w:r w:rsidR="002A4FEE" w:rsidRPr="001D2ADB">
        <w:rPr>
          <w:rFonts w:ascii="Arial" w:hAnsi="Arial" w:cs="Arial"/>
        </w:rPr>
        <w:t xml:space="preserve"> (</w:t>
      </w:r>
      <w:r w:rsidR="00F0157D" w:rsidRPr="001D2ADB">
        <w:rPr>
          <w:rFonts w:ascii="Arial" w:hAnsi="Arial" w:cs="Arial"/>
        </w:rPr>
        <w:t>40, 43, 44, 48, 49</w:t>
      </w:r>
      <w:r w:rsidR="002A4FEE" w:rsidRPr="001D2ADB">
        <w:rPr>
          <w:rFonts w:ascii="Arial" w:hAnsi="Arial" w:cs="Arial"/>
        </w:rPr>
        <w:t>)</w:t>
      </w:r>
      <w:r w:rsidR="00DB1F16" w:rsidRPr="001D2ADB">
        <w:rPr>
          <w:rFonts w:ascii="Arial" w:hAnsi="Arial" w:cs="Arial"/>
        </w:rPr>
        <w:t>.</w:t>
      </w:r>
    </w:p>
    <w:p w14:paraId="23C262B8" w14:textId="77777777" w:rsidR="00470B6C" w:rsidRPr="001D2ADB" w:rsidRDefault="00470B6C" w:rsidP="001D2ADB">
      <w:pPr>
        <w:autoSpaceDE w:val="0"/>
        <w:autoSpaceDN w:val="0"/>
        <w:adjustRightInd w:val="0"/>
        <w:spacing w:after="0"/>
        <w:rPr>
          <w:rFonts w:ascii="Arial" w:hAnsi="Arial" w:cs="Arial"/>
          <w:vertAlign w:val="superscript"/>
        </w:rPr>
      </w:pPr>
    </w:p>
    <w:tbl>
      <w:tblPr>
        <w:tblStyle w:val="TableGrid"/>
        <w:tblW w:w="9560" w:type="dxa"/>
        <w:tblInd w:w="-275" w:type="dxa"/>
        <w:tblLayout w:type="fixed"/>
        <w:tblLook w:val="00A0" w:firstRow="1" w:lastRow="0" w:firstColumn="1" w:lastColumn="0" w:noHBand="0" w:noVBand="0"/>
      </w:tblPr>
      <w:tblGrid>
        <w:gridCol w:w="1910"/>
        <w:gridCol w:w="2520"/>
        <w:gridCol w:w="1686"/>
        <w:gridCol w:w="1554"/>
        <w:gridCol w:w="1890"/>
      </w:tblGrid>
      <w:tr w:rsidR="0070611D" w:rsidRPr="001D2ADB" w14:paraId="7B0E7063" w14:textId="77777777" w:rsidTr="005F69B3">
        <w:trPr>
          <w:trHeight w:val="395"/>
        </w:trPr>
        <w:tc>
          <w:tcPr>
            <w:tcW w:w="9560" w:type="dxa"/>
            <w:gridSpan w:val="5"/>
            <w:shd w:val="clear" w:color="auto" w:fill="FFFF00"/>
          </w:tcPr>
          <w:p w14:paraId="1C1F6265" w14:textId="630E0CB2" w:rsidR="0070611D" w:rsidRPr="001D2ADB" w:rsidRDefault="0070611D" w:rsidP="001D2ADB">
            <w:pPr>
              <w:spacing w:after="0"/>
              <w:rPr>
                <w:rFonts w:ascii="Arial" w:hAnsi="Arial" w:cs="Arial"/>
                <w:b/>
                <w:bCs/>
                <w:color w:val="000000"/>
              </w:rPr>
            </w:pPr>
            <w:r w:rsidRPr="001D2ADB">
              <w:rPr>
                <w:rFonts w:ascii="Arial" w:hAnsi="Arial" w:cs="Arial"/>
                <w:b/>
                <w:bCs/>
                <w:color w:val="000000"/>
              </w:rPr>
              <w:t xml:space="preserve">Table 5. Bile Acid Sequestrants </w:t>
            </w:r>
          </w:p>
        </w:tc>
      </w:tr>
      <w:tr w:rsidR="0070611D" w:rsidRPr="001D2ADB" w14:paraId="5F27BE5E" w14:textId="77777777" w:rsidTr="005F69B3">
        <w:trPr>
          <w:trHeight w:val="510"/>
        </w:trPr>
        <w:tc>
          <w:tcPr>
            <w:tcW w:w="1910" w:type="dxa"/>
          </w:tcPr>
          <w:p w14:paraId="73FA92E7" w14:textId="77777777" w:rsidR="0070611D" w:rsidRPr="001D2ADB" w:rsidRDefault="0070611D" w:rsidP="001D2ADB">
            <w:pPr>
              <w:spacing w:after="0"/>
              <w:rPr>
                <w:rFonts w:ascii="Arial" w:hAnsi="Arial" w:cs="Arial"/>
                <w:b/>
                <w:bCs/>
                <w:color w:val="000000"/>
              </w:rPr>
            </w:pPr>
            <w:r w:rsidRPr="001D2ADB">
              <w:rPr>
                <w:rFonts w:ascii="Arial" w:hAnsi="Arial" w:cs="Arial"/>
                <w:b/>
                <w:bCs/>
                <w:color w:val="000000"/>
              </w:rPr>
              <w:t>Medication</w:t>
            </w:r>
          </w:p>
        </w:tc>
        <w:tc>
          <w:tcPr>
            <w:tcW w:w="2520" w:type="dxa"/>
          </w:tcPr>
          <w:p w14:paraId="6EE29B61" w14:textId="77777777" w:rsidR="0070611D" w:rsidRPr="001D2ADB" w:rsidRDefault="0070611D" w:rsidP="001D2ADB">
            <w:pPr>
              <w:spacing w:after="0"/>
              <w:rPr>
                <w:rFonts w:ascii="Arial" w:hAnsi="Arial" w:cs="Arial"/>
                <w:b/>
                <w:bCs/>
                <w:color w:val="000000"/>
              </w:rPr>
            </w:pPr>
            <w:r w:rsidRPr="001D2ADB">
              <w:rPr>
                <w:rFonts w:ascii="Arial" w:hAnsi="Arial" w:cs="Arial"/>
                <w:b/>
                <w:bCs/>
                <w:color w:val="000000"/>
              </w:rPr>
              <w:t>Pediatric Approvals &amp; Indications</w:t>
            </w:r>
          </w:p>
        </w:tc>
        <w:tc>
          <w:tcPr>
            <w:tcW w:w="1686" w:type="dxa"/>
          </w:tcPr>
          <w:p w14:paraId="066FD4FF" w14:textId="77777777" w:rsidR="0070611D" w:rsidRPr="001D2ADB" w:rsidRDefault="0070611D" w:rsidP="001D2ADB">
            <w:pPr>
              <w:spacing w:after="0"/>
              <w:rPr>
                <w:rFonts w:ascii="Arial" w:hAnsi="Arial" w:cs="Arial"/>
                <w:b/>
                <w:bCs/>
                <w:color w:val="000000"/>
              </w:rPr>
            </w:pPr>
            <w:r w:rsidRPr="001D2ADB">
              <w:rPr>
                <w:rFonts w:ascii="Arial" w:hAnsi="Arial" w:cs="Arial"/>
                <w:b/>
                <w:bCs/>
                <w:color w:val="000000"/>
              </w:rPr>
              <w:t>Dosing</w:t>
            </w:r>
          </w:p>
        </w:tc>
        <w:tc>
          <w:tcPr>
            <w:tcW w:w="1554" w:type="dxa"/>
          </w:tcPr>
          <w:p w14:paraId="0B4AFEC0" w14:textId="77777777" w:rsidR="0070611D" w:rsidRPr="001D2ADB" w:rsidRDefault="0070611D" w:rsidP="001D2ADB">
            <w:pPr>
              <w:spacing w:after="0"/>
              <w:rPr>
                <w:rFonts w:ascii="Arial" w:hAnsi="Arial" w:cs="Arial"/>
                <w:b/>
                <w:bCs/>
                <w:color w:val="000000"/>
              </w:rPr>
            </w:pPr>
            <w:r w:rsidRPr="001D2ADB">
              <w:rPr>
                <w:rFonts w:ascii="Arial" w:hAnsi="Arial" w:cs="Arial"/>
                <w:b/>
                <w:bCs/>
                <w:color w:val="000000"/>
              </w:rPr>
              <w:t>Comments</w:t>
            </w:r>
          </w:p>
        </w:tc>
        <w:tc>
          <w:tcPr>
            <w:tcW w:w="1890" w:type="dxa"/>
          </w:tcPr>
          <w:p w14:paraId="571BC37F" w14:textId="77777777" w:rsidR="0070611D" w:rsidRPr="001D2ADB" w:rsidRDefault="0070611D" w:rsidP="001D2ADB">
            <w:pPr>
              <w:spacing w:after="0"/>
              <w:rPr>
                <w:rFonts w:ascii="Arial" w:hAnsi="Arial" w:cs="Arial"/>
                <w:b/>
                <w:bCs/>
                <w:color w:val="000000"/>
              </w:rPr>
            </w:pPr>
            <w:r w:rsidRPr="001D2ADB">
              <w:rPr>
                <w:rFonts w:ascii="Arial" w:hAnsi="Arial" w:cs="Arial"/>
                <w:b/>
                <w:bCs/>
                <w:color w:val="000000"/>
              </w:rPr>
              <w:t>Clinical Trials</w:t>
            </w:r>
          </w:p>
        </w:tc>
      </w:tr>
      <w:tr w:rsidR="0070611D" w:rsidRPr="001D2ADB" w14:paraId="2CB743C8" w14:textId="77777777" w:rsidTr="005F69B3">
        <w:trPr>
          <w:trHeight w:val="1245"/>
        </w:trPr>
        <w:tc>
          <w:tcPr>
            <w:tcW w:w="1910" w:type="dxa"/>
          </w:tcPr>
          <w:p w14:paraId="12BF172F" w14:textId="77777777" w:rsidR="0070611D" w:rsidRPr="001D2ADB" w:rsidRDefault="0070611D" w:rsidP="001D2ADB">
            <w:pPr>
              <w:spacing w:after="0"/>
              <w:rPr>
                <w:rFonts w:ascii="Arial" w:hAnsi="Arial" w:cs="Arial"/>
                <w:b/>
                <w:bCs/>
                <w:color w:val="000000"/>
              </w:rPr>
            </w:pPr>
            <w:r w:rsidRPr="001D2ADB">
              <w:rPr>
                <w:rFonts w:ascii="Arial" w:hAnsi="Arial" w:cs="Arial"/>
                <w:b/>
                <w:bCs/>
                <w:color w:val="000000"/>
              </w:rPr>
              <w:t>Colesevelam</w:t>
            </w:r>
          </w:p>
        </w:tc>
        <w:tc>
          <w:tcPr>
            <w:tcW w:w="2520" w:type="dxa"/>
          </w:tcPr>
          <w:p w14:paraId="47E9234A" w14:textId="77777777" w:rsidR="0070611D" w:rsidRPr="001D2ADB" w:rsidRDefault="0070611D" w:rsidP="001D2ADB">
            <w:pPr>
              <w:spacing w:after="0"/>
              <w:rPr>
                <w:rFonts w:ascii="Arial" w:hAnsi="Arial" w:cs="Arial"/>
                <w:color w:val="000000"/>
              </w:rPr>
            </w:pPr>
            <w:r w:rsidRPr="001D2ADB">
              <w:rPr>
                <w:rFonts w:ascii="Arial" w:hAnsi="Arial" w:cs="Arial"/>
                <w:color w:val="000000"/>
              </w:rPr>
              <w:t>Age 10-17</w:t>
            </w:r>
            <w:r w:rsidRPr="001D2ADB">
              <w:rPr>
                <w:rFonts w:ascii="Arial" w:hAnsi="Arial" w:cs="Arial"/>
                <w:color w:val="000000"/>
              </w:rPr>
              <w:br/>
              <w:t>Heterozygous familial hypercholesterolemia</w:t>
            </w:r>
          </w:p>
        </w:tc>
        <w:tc>
          <w:tcPr>
            <w:tcW w:w="1686" w:type="dxa"/>
          </w:tcPr>
          <w:p w14:paraId="55FBB715" w14:textId="77777777" w:rsidR="0070611D" w:rsidRPr="001D2ADB" w:rsidRDefault="0070611D" w:rsidP="001D2ADB">
            <w:pPr>
              <w:spacing w:after="0"/>
              <w:rPr>
                <w:rFonts w:ascii="Arial" w:hAnsi="Arial" w:cs="Arial"/>
                <w:color w:val="000000"/>
              </w:rPr>
            </w:pPr>
            <w:r w:rsidRPr="001D2ADB">
              <w:rPr>
                <w:rFonts w:ascii="Arial" w:hAnsi="Arial" w:cs="Arial"/>
                <w:color w:val="000000"/>
              </w:rPr>
              <w:t>1.875 g twice daily or 3.75 g daily</w:t>
            </w:r>
          </w:p>
        </w:tc>
        <w:tc>
          <w:tcPr>
            <w:tcW w:w="1554" w:type="dxa"/>
          </w:tcPr>
          <w:p w14:paraId="34AB7B5E" w14:textId="77777777" w:rsidR="0070611D" w:rsidRPr="001D2ADB" w:rsidRDefault="0070611D" w:rsidP="001D2ADB">
            <w:pPr>
              <w:spacing w:after="0"/>
              <w:rPr>
                <w:rFonts w:ascii="Arial" w:hAnsi="Arial" w:cs="Arial"/>
                <w:color w:val="000000"/>
              </w:rPr>
            </w:pPr>
            <w:r w:rsidRPr="001D2ADB">
              <w:rPr>
                <w:rFonts w:ascii="Arial" w:hAnsi="Arial" w:cs="Arial"/>
                <w:color w:val="000000"/>
              </w:rPr>
              <w:t>May be used as monotherapy or in combination with a statin</w:t>
            </w:r>
          </w:p>
        </w:tc>
        <w:tc>
          <w:tcPr>
            <w:tcW w:w="1890" w:type="dxa"/>
          </w:tcPr>
          <w:p w14:paraId="31A89DB7" w14:textId="5AEA4CCE" w:rsidR="0070611D" w:rsidRPr="001D2ADB" w:rsidRDefault="0070611D" w:rsidP="001D2ADB">
            <w:pPr>
              <w:spacing w:after="0"/>
              <w:rPr>
                <w:rFonts w:ascii="Arial" w:hAnsi="Arial" w:cs="Arial"/>
                <w:color w:val="000000"/>
                <w:vertAlign w:val="superscript"/>
              </w:rPr>
            </w:pPr>
            <w:r w:rsidRPr="001D2ADB">
              <w:rPr>
                <w:rFonts w:ascii="Arial" w:hAnsi="Arial" w:cs="Arial"/>
                <w:color w:val="000000"/>
              </w:rPr>
              <w:t>Stein, et al</w:t>
            </w:r>
            <w:r w:rsidR="002A4FEE" w:rsidRPr="001D2ADB">
              <w:rPr>
                <w:rFonts w:ascii="Arial" w:hAnsi="Arial" w:cs="Arial"/>
                <w:color w:val="000000"/>
              </w:rPr>
              <w:t xml:space="preserve"> (</w:t>
            </w:r>
            <w:r w:rsidR="00F0157D" w:rsidRPr="001D2ADB">
              <w:rPr>
                <w:rFonts w:ascii="Arial" w:hAnsi="Arial" w:cs="Arial"/>
                <w:color w:val="000000"/>
              </w:rPr>
              <w:t>40</w:t>
            </w:r>
            <w:r w:rsidR="002A4FEE" w:rsidRPr="001D2ADB">
              <w:rPr>
                <w:rFonts w:ascii="Arial" w:hAnsi="Arial" w:cs="Arial"/>
                <w:color w:val="000000"/>
              </w:rPr>
              <w:t>)</w:t>
            </w:r>
          </w:p>
        </w:tc>
      </w:tr>
      <w:tr w:rsidR="0070611D" w:rsidRPr="001D2ADB" w14:paraId="7D4ACF77" w14:textId="77777777" w:rsidTr="005F69B3">
        <w:trPr>
          <w:trHeight w:val="1110"/>
        </w:trPr>
        <w:tc>
          <w:tcPr>
            <w:tcW w:w="1910" w:type="dxa"/>
            <w:vMerge w:val="restart"/>
          </w:tcPr>
          <w:p w14:paraId="0DB02261" w14:textId="77777777" w:rsidR="0070611D" w:rsidRPr="001D2ADB" w:rsidRDefault="0070611D" w:rsidP="001D2ADB">
            <w:pPr>
              <w:spacing w:after="0"/>
              <w:rPr>
                <w:rFonts w:ascii="Arial" w:hAnsi="Arial" w:cs="Arial"/>
                <w:b/>
                <w:bCs/>
                <w:color w:val="000000"/>
              </w:rPr>
            </w:pPr>
            <w:r w:rsidRPr="001D2ADB">
              <w:rPr>
                <w:rFonts w:ascii="Arial" w:hAnsi="Arial" w:cs="Arial"/>
                <w:b/>
                <w:bCs/>
                <w:color w:val="000000"/>
              </w:rPr>
              <w:lastRenderedPageBreak/>
              <w:t>Colestipol</w:t>
            </w:r>
          </w:p>
        </w:tc>
        <w:tc>
          <w:tcPr>
            <w:tcW w:w="2520" w:type="dxa"/>
          </w:tcPr>
          <w:p w14:paraId="3923AB18" w14:textId="77777777" w:rsidR="0070611D" w:rsidRPr="001D2ADB" w:rsidRDefault="0070611D" w:rsidP="001D2ADB">
            <w:pPr>
              <w:spacing w:after="0"/>
              <w:rPr>
                <w:rFonts w:ascii="Arial" w:hAnsi="Arial" w:cs="Arial"/>
                <w:color w:val="000000"/>
              </w:rPr>
            </w:pPr>
            <w:r w:rsidRPr="001D2ADB">
              <w:rPr>
                <w:rFonts w:ascii="Arial" w:hAnsi="Arial" w:cs="Arial"/>
                <w:color w:val="000000"/>
              </w:rPr>
              <w:t>(Note: Not FDA Approved)</w:t>
            </w:r>
            <w:r w:rsidRPr="001D2ADB">
              <w:rPr>
                <w:rFonts w:ascii="Arial" w:hAnsi="Arial" w:cs="Arial"/>
                <w:color w:val="000000"/>
              </w:rPr>
              <w:br/>
              <w:t>Age 7-12</w:t>
            </w:r>
            <w:r w:rsidRPr="001D2ADB">
              <w:rPr>
                <w:rFonts w:ascii="Arial" w:hAnsi="Arial" w:cs="Arial"/>
                <w:color w:val="000000"/>
              </w:rPr>
              <w:br/>
              <w:t>Primary hypercholesterolemia</w:t>
            </w:r>
          </w:p>
        </w:tc>
        <w:tc>
          <w:tcPr>
            <w:tcW w:w="1686" w:type="dxa"/>
          </w:tcPr>
          <w:p w14:paraId="286798FA" w14:textId="4434081D" w:rsidR="0070611D" w:rsidRPr="001D2ADB" w:rsidRDefault="0070611D" w:rsidP="001D2ADB">
            <w:pPr>
              <w:spacing w:after="0"/>
              <w:rPr>
                <w:rFonts w:ascii="Arial" w:hAnsi="Arial" w:cs="Arial"/>
                <w:color w:val="000000"/>
              </w:rPr>
            </w:pPr>
            <w:r w:rsidRPr="001D2ADB">
              <w:rPr>
                <w:rFonts w:ascii="Arial" w:hAnsi="Arial" w:cs="Arial"/>
                <w:color w:val="000000"/>
              </w:rPr>
              <w:t xml:space="preserve">5 g twice </w:t>
            </w:r>
            <w:r w:rsidR="006A6C95" w:rsidRPr="001D2ADB">
              <w:rPr>
                <w:rFonts w:ascii="Arial" w:hAnsi="Arial" w:cs="Arial"/>
                <w:color w:val="000000"/>
              </w:rPr>
              <w:t>daily, 10</w:t>
            </w:r>
            <w:r w:rsidRPr="001D2ADB">
              <w:rPr>
                <w:rFonts w:ascii="Arial" w:hAnsi="Arial" w:cs="Arial"/>
                <w:color w:val="000000"/>
              </w:rPr>
              <w:t xml:space="preserve"> g daily, or</w:t>
            </w:r>
            <w:r w:rsidRPr="001D2ADB">
              <w:rPr>
                <w:rFonts w:ascii="Arial" w:hAnsi="Arial" w:cs="Arial"/>
                <w:color w:val="000000"/>
              </w:rPr>
              <w:br/>
              <w:t>125-500 mg/kg/day</w:t>
            </w:r>
          </w:p>
        </w:tc>
        <w:tc>
          <w:tcPr>
            <w:tcW w:w="1554" w:type="dxa"/>
          </w:tcPr>
          <w:p w14:paraId="29647FD2" w14:textId="77777777" w:rsidR="0070611D" w:rsidRPr="001D2ADB" w:rsidRDefault="0070611D" w:rsidP="001D2ADB">
            <w:pPr>
              <w:spacing w:after="0"/>
              <w:rPr>
                <w:rFonts w:ascii="Arial" w:hAnsi="Arial" w:cs="Arial"/>
                <w:color w:val="000000"/>
              </w:rPr>
            </w:pPr>
            <w:r w:rsidRPr="001D2ADB">
              <w:rPr>
                <w:rFonts w:ascii="Arial" w:hAnsi="Arial" w:cs="Arial"/>
                <w:color w:val="000000"/>
              </w:rPr>
              <w:t>N/A</w:t>
            </w:r>
          </w:p>
        </w:tc>
        <w:tc>
          <w:tcPr>
            <w:tcW w:w="1890" w:type="dxa"/>
            <w:vMerge w:val="restart"/>
          </w:tcPr>
          <w:p w14:paraId="0F885C55" w14:textId="5462CFD0" w:rsidR="0070611D" w:rsidRPr="001D2ADB" w:rsidRDefault="0070611D" w:rsidP="001D2ADB">
            <w:pPr>
              <w:spacing w:after="0"/>
              <w:rPr>
                <w:rFonts w:ascii="Arial" w:hAnsi="Arial" w:cs="Arial"/>
                <w:color w:val="000000"/>
                <w:vertAlign w:val="superscript"/>
              </w:rPr>
            </w:pPr>
            <w:r w:rsidRPr="001D2ADB">
              <w:rPr>
                <w:rFonts w:ascii="Arial" w:hAnsi="Arial" w:cs="Arial"/>
                <w:color w:val="000000"/>
              </w:rPr>
              <w:t>McCrindle, et al</w:t>
            </w:r>
            <w:r w:rsidR="002A4FEE" w:rsidRPr="001D2ADB">
              <w:rPr>
                <w:rFonts w:ascii="Arial" w:hAnsi="Arial" w:cs="Arial"/>
                <w:color w:val="000000"/>
              </w:rPr>
              <w:t xml:space="preserve"> (</w:t>
            </w:r>
            <w:r w:rsidR="00F0157D" w:rsidRPr="001D2ADB">
              <w:rPr>
                <w:rFonts w:ascii="Arial" w:hAnsi="Arial" w:cs="Arial"/>
                <w:color w:val="000000"/>
              </w:rPr>
              <w:t>43</w:t>
            </w:r>
            <w:r w:rsidR="002A4FEE" w:rsidRPr="001D2ADB">
              <w:rPr>
                <w:rFonts w:ascii="Arial" w:hAnsi="Arial" w:cs="Arial"/>
                <w:color w:val="000000"/>
              </w:rPr>
              <w:t>)</w:t>
            </w:r>
            <w:r w:rsidRPr="001D2ADB">
              <w:rPr>
                <w:rFonts w:ascii="Arial" w:hAnsi="Arial" w:cs="Arial"/>
                <w:color w:val="000000"/>
              </w:rPr>
              <w:br/>
              <w:t>Tonstad, et al</w:t>
            </w:r>
            <w:r w:rsidR="00F0157D" w:rsidRPr="001D2ADB">
              <w:rPr>
                <w:rFonts w:ascii="Arial" w:hAnsi="Arial" w:cs="Arial"/>
                <w:color w:val="000000"/>
              </w:rPr>
              <w:t xml:space="preserve"> (44</w:t>
            </w:r>
            <w:r w:rsidR="002A4FEE" w:rsidRPr="001D2ADB">
              <w:rPr>
                <w:rFonts w:ascii="Arial" w:hAnsi="Arial" w:cs="Arial"/>
                <w:color w:val="000000"/>
              </w:rPr>
              <w:t>)</w:t>
            </w:r>
          </w:p>
        </w:tc>
      </w:tr>
      <w:tr w:rsidR="0070611D" w:rsidRPr="001D2ADB" w14:paraId="15C6F12D" w14:textId="77777777" w:rsidTr="005F69B3">
        <w:trPr>
          <w:trHeight w:val="1155"/>
        </w:trPr>
        <w:tc>
          <w:tcPr>
            <w:tcW w:w="1910" w:type="dxa"/>
            <w:vMerge/>
          </w:tcPr>
          <w:p w14:paraId="3A05F6FA" w14:textId="77777777" w:rsidR="0070611D" w:rsidRPr="001D2ADB" w:rsidRDefault="0070611D" w:rsidP="001D2ADB">
            <w:pPr>
              <w:spacing w:after="0"/>
              <w:rPr>
                <w:rFonts w:ascii="Arial" w:hAnsi="Arial" w:cs="Arial"/>
                <w:b/>
                <w:bCs/>
                <w:color w:val="000000"/>
              </w:rPr>
            </w:pPr>
          </w:p>
        </w:tc>
        <w:tc>
          <w:tcPr>
            <w:tcW w:w="2520" w:type="dxa"/>
          </w:tcPr>
          <w:p w14:paraId="11E09A48" w14:textId="77777777" w:rsidR="0070611D" w:rsidRPr="001D2ADB" w:rsidRDefault="0070611D" w:rsidP="001D2ADB">
            <w:pPr>
              <w:spacing w:after="0"/>
              <w:rPr>
                <w:rFonts w:ascii="Arial" w:hAnsi="Arial" w:cs="Arial"/>
                <w:color w:val="000000"/>
              </w:rPr>
            </w:pPr>
            <w:r w:rsidRPr="001D2ADB">
              <w:rPr>
                <w:rFonts w:ascii="Arial" w:hAnsi="Arial" w:cs="Arial"/>
                <w:color w:val="000000"/>
              </w:rPr>
              <w:t>(Note: Not FDA Approved)</w:t>
            </w:r>
            <w:r w:rsidRPr="001D2ADB">
              <w:rPr>
                <w:rFonts w:ascii="Arial" w:hAnsi="Arial" w:cs="Arial"/>
                <w:color w:val="000000"/>
              </w:rPr>
              <w:br/>
              <w:t>Age ≥12</w:t>
            </w:r>
            <w:r w:rsidRPr="001D2ADB">
              <w:rPr>
                <w:rFonts w:ascii="Arial" w:hAnsi="Arial" w:cs="Arial"/>
                <w:color w:val="000000"/>
              </w:rPr>
              <w:br/>
              <w:t>Primary hypercholesterolemia</w:t>
            </w:r>
          </w:p>
        </w:tc>
        <w:tc>
          <w:tcPr>
            <w:tcW w:w="1686" w:type="dxa"/>
          </w:tcPr>
          <w:p w14:paraId="708B7E3E" w14:textId="77777777" w:rsidR="0070611D" w:rsidRPr="001D2ADB" w:rsidRDefault="0070611D" w:rsidP="001D2ADB">
            <w:pPr>
              <w:spacing w:after="0"/>
              <w:rPr>
                <w:rFonts w:ascii="Arial" w:hAnsi="Arial" w:cs="Arial"/>
                <w:color w:val="000000"/>
              </w:rPr>
            </w:pPr>
            <w:r w:rsidRPr="001D2ADB">
              <w:rPr>
                <w:rFonts w:ascii="Arial" w:hAnsi="Arial" w:cs="Arial"/>
                <w:color w:val="000000"/>
              </w:rPr>
              <w:t>10-15 g/day</w:t>
            </w:r>
          </w:p>
        </w:tc>
        <w:tc>
          <w:tcPr>
            <w:tcW w:w="1554" w:type="dxa"/>
          </w:tcPr>
          <w:p w14:paraId="3276F24E" w14:textId="77777777" w:rsidR="0070611D" w:rsidRPr="001D2ADB" w:rsidRDefault="0070611D" w:rsidP="001D2ADB">
            <w:pPr>
              <w:spacing w:after="0"/>
              <w:rPr>
                <w:rFonts w:ascii="Arial" w:hAnsi="Arial" w:cs="Arial"/>
                <w:color w:val="000000"/>
              </w:rPr>
            </w:pPr>
            <w:r w:rsidRPr="001D2ADB">
              <w:rPr>
                <w:rFonts w:ascii="Arial" w:hAnsi="Arial" w:cs="Arial"/>
                <w:color w:val="000000"/>
              </w:rPr>
              <w:t>N/A</w:t>
            </w:r>
          </w:p>
        </w:tc>
        <w:tc>
          <w:tcPr>
            <w:tcW w:w="1890" w:type="dxa"/>
            <w:vMerge/>
          </w:tcPr>
          <w:p w14:paraId="183A75D3" w14:textId="77777777" w:rsidR="0070611D" w:rsidRPr="001D2ADB" w:rsidRDefault="0070611D" w:rsidP="001D2ADB">
            <w:pPr>
              <w:spacing w:after="0"/>
              <w:rPr>
                <w:rFonts w:ascii="Arial" w:hAnsi="Arial" w:cs="Arial"/>
                <w:color w:val="000000"/>
              </w:rPr>
            </w:pPr>
          </w:p>
        </w:tc>
      </w:tr>
      <w:tr w:rsidR="0070611D" w:rsidRPr="001D2ADB" w14:paraId="1F6E7468" w14:textId="77777777" w:rsidTr="005F69B3">
        <w:trPr>
          <w:trHeight w:val="1275"/>
        </w:trPr>
        <w:tc>
          <w:tcPr>
            <w:tcW w:w="1910" w:type="dxa"/>
            <w:vMerge w:val="restart"/>
          </w:tcPr>
          <w:p w14:paraId="0C1F16CE" w14:textId="77777777" w:rsidR="0070611D" w:rsidRPr="001D2ADB" w:rsidRDefault="0070611D" w:rsidP="001D2ADB">
            <w:pPr>
              <w:spacing w:after="0"/>
              <w:rPr>
                <w:rFonts w:ascii="Arial" w:hAnsi="Arial" w:cs="Arial"/>
                <w:b/>
                <w:bCs/>
                <w:color w:val="000000"/>
              </w:rPr>
            </w:pPr>
            <w:r w:rsidRPr="001D2ADB">
              <w:rPr>
                <w:rFonts w:ascii="Arial" w:hAnsi="Arial" w:cs="Arial"/>
                <w:b/>
                <w:bCs/>
                <w:color w:val="000000"/>
              </w:rPr>
              <w:t>Cholestyramine</w:t>
            </w:r>
          </w:p>
        </w:tc>
        <w:tc>
          <w:tcPr>
            <w:tcW w:w="2520" w:type="dxa"/>
          </w:tcPr>
          <w:p w14:paraId="1FBA8CF1" w14:textId="77777777" w:rsidR="0070611D" w:rsidRPr="001D2ADB" w:rsidRDefault="0070611D" w:rsidP="001D2ADB">
            <w:pPr>
              <w:spacing w:after="0"/>
              <w:rPr>
                <w:rFonts w:ascii="Arial" w:hAnsi="Arial" w:cs="Arial"/>
                <w:color w:val="000000"/>
              </w:rPr>
            </w:pPr>
            <w:r w:rsidRPr="001D2ADB">
              <w:rPr>
                <w:rFonts w:ascii="Arial" w:hAnsi="Arial" w:cs="Arial"/>
                <w:color w:val="000000"/>
              </w:rPr>
              <w:t>(Note: Not FDA Approved)</w:t>
            </w:r>
            <w:r w:rsidRPr="001D2ADB">
              <w:rPr>
                <w:rFonts w:ascii="Arial" w:hAnsi="Arial" w:cs="Arial"/>
                <w:color w:val="000000"/>
              </w:rPr>
              <w:br/>
              <w:t>Age 6-12</w:t>
            </w:r>
            <w:r w:rsidRPr="001D2ADB">
              <w:rPr>
                <w:rFonts w:ascii="Arial" w:hAnsi="Arial" w:cs="Arial"/>
                <w:color w:val="000000"/>
              </w:rPr>
              <w:br/>
              <w:t>Hypercholesterolemia adjunct</w:t>
            </w:r>
          </w:p>
        </w:tc>
        <w:tc>
          <w:tcPr>
            <w:tcW w:w="1686" w:type="dxa"/>
          </w:tcPr>
          <w:p w14:paraId="52BDC48E" w14:textId="77777777" w:rsidR="0070611D" w:rsidRPr="001D2ADB" w:rsidRDefault="0070611D" w:rsidP="001D2ADB">
            <w:pPr>
              <w:spacing w:after="0"/>
              <w:rPr>
                <w:rFonts w:ascii="Arial" w:hAnsi="Arial" w:cs="Arial"/>
                <w:color w:val="000000"/>
              </w:rPr>
            </w:pPr>
            <w:r w:rsidRPr="001D2ADB">
              <w:rPr>
                <w:rFonts w:ascii="Arial" w:hAnsi="Arial" w:cs="Arial"/>
                <w:color w:val="000000"/>
              </w:rPr>
              <w:t xml:space="preserve">240 mg/kg/day divided three times daily before meals </w:t>
            </w:r>
          </w:p>
        </w:tc>
        <w:tc>
          <w:tcPr>
            <w:tcW w:w="1554" w:type="dxa"/>
          </w:tcPr>
          <w:p w14:paraId="552A4E9B" w14:textId="77777777" w:rsidR="0070611D" w:rsidRPr="001D2ADB" w:rsidRDefault="0070611D" w:rsidP="001D2ADB">
            <w:pPr>
              <w:spacing w:after="0"/>
              <w:rPr>
                <w:rFonts w:ascii="Arial" w:hAnsi="Arial" w:cs="Arial"/>
                <w:color w:val="000000"/>
              </w:rPr>
            </w:pPr>
            <w:r w:rsidRPr="001D2ADB">
              <w:rPr>
                <w:rFonts w:ascii="Arial" w:hAnsi="Arial" w:cs="Arial"/>
                <w:color w:val="000000"/>
              </w:rPr>
              <w:t>Initiate at 2-4 g twice daily</w:t>
            </w:r>
          </w:p>
        </w:tc>
        <w:tc>
          <w:tcPr>
            <w:tcW w:w="1890" w:type="dxa"/>
            <w:vMerge w:val="restart"/>
          </w:tcPr>
          <w:p w14:paraId="5316740A" w14:textId="2E886435" w:rsidR="0070611D" w:rsidRPr="001D2ADB" w:rsidRDefault="0070611D" w:rsidP="001D2ADB">
            <w:pPr>
              <w:spacing w:after="0"/>
              <w:rPr>
                <w:rFonts w:ascii="Arial" w:hAnsi="Arial" w:cs="Arial"/>
                <w:color w:val="000000"/>
                <w:vertAlign w:val="superscript"/>
              </w:rPr>
            </w:pPr>
            <w:r w:rsidRPr="001D2ADB">
              <w:rPr>
                <w:rFonts w:ascii="Arial" w:hAnsi="Arial" w:cs="Arial"/>
                <w:color w:val="000000"/>
              </w:rPr>
              <w:t>McCrindle, et al</w:t>
            </w:r>
            <w:r w:rsidR="00F0157D" w:rsidRPr="001D2ADB">
              <w:rPr>
                <w:rFonts w:ascii="Arial" w:hAnsi="Arial" w:cs="Arial"/>
                <w:color w:val="000000"/>
              </w:rPr>
              <w:t xml:space="preserve"> (48</w:t>
            </w:r>
            <w:r w:rsidR="002A4FEE" w:rsidRPr="001D2ADB">
              <w:rPr>
                <w:rFonts w:ascii="Arial" w:hAnsi="Arial" w:cs="Arial"/>
                <w:color w:val="000000"/>
              </w:rPr>
              <w:t>)</w:t>
            </w:r>
            <w:r w:rsidRPr="001D2ADB">
              <w:rPr>
                <w:rFonts w:ascii="Arial" w:hAnsi="Arial" w:cs="Arial"/>
                <w:color w:val="000000"/>
              </w:rPr>
              <w:br/>
              <w:t>Tonstad, et al</w:t>
            </w:r>
            <w:r w:rsidR="00F0157D" w:rsidRPr="001D2ADB">
              <w:rPr>
                <w:rFonts w:ascii="Arial" w:hAnsi="Arial" w:cs="Arial"/>
                <w:color w:val="000000"/>
              </w:rPr>
              <w:t xml:space="preserve"> (49</w:t>
            </w:r>
            <w:r w:rsidR="002A4FEE" w:rsidRPr="001D2ADB">
              <w:rPr>
                <w:rFonts w:ascii="Arial" w:hAnsi="Arial" w:cs="Arial"/>
                <w:color w:val="000000"/>
              </w:rPr>
              <w:t>)</w:t>
            </w:r>
          </w:p>
        </w:tc>
      </w:tr>
      <w:tr w:rsidR="0070611D" w:rsidRPr="001D2ADB" w14:paraId="60E43043" w14:textId="77777777" w:rsidTr="005F69B3">
        <w:trPr>
          <w:trHeight w:val="765"/>
        </w:trPr>
        <w:tc>
          <w:tcPr>
            <w:tcW w:w="1910" w:type="dxa"/>
            <w:vMerge/>
          </w:tcPr>
          <w:p w14:paraId="6B748C46" w14:textId="77777777" w:rsidR="0070611D" w:rsidRPr="001D2ADB" w:rsidRDefault="0070611D" w:rsidP="001D2ADB">
            <w:pPr>
              <w:spacing w:after="0"/>
              <w:rPr>
                <w:rFonts w:ascii="Arial" w:hAnsi="Arial" w:cs="Arial"/>
                <w:b/>
                <w:bCs/>
                <w:color w:val="000000"/>
              </w:rPr>
            </w:pPr>
          </w:p>
        </w:tc>
        <w:tc>
          <w:tcPr>
            <w:tcW w:w="2520" w:type="dxa"/>
          </w:tcPr>
          <w:p w14:paraId="7136591B" w14:textId="77777777" w:rsidR="0070611D" w:rsidRPr="001D2ADB" w:rsidRDefault="0070611D" w:rsidP="001D2ADB">
            <w:pPr>
              <w:spacing w:after="0"/>
              <w:rPr>
                <w:rFonts w:ascii="Arial" w:hAnsi="Arial" w:cs="Arial"/>
                <w:color w:val="000000"/>
              </w:rPr>
            </w:pPr>
            <w:r w:rsidRPr="001D2ADB">
              <w:rPr>
                <w:rFonts w:ascii="Arial" w:hAnsi="Arial" w:cs="Arial"/>
                <w:color w:val="000000"/>
              </w:rPr>
              <w:t>(Note: Not FDA Approved)</w:t>
            </w:r>
            <w:r w:rsidRPr="001D2ADB">
              <w:rPr>
                <w:rFonts w:ascii="Arial" w:hAnsi="Arial" w:cs="Arial"/>
                <w:color w:val="000000"/>
              </w:rPr>
              <w:br/>
              <w:t>Age ≥12</w:t>
            </w:r>
          </w:p>
        </w:tc>
        <w:tc>
          <w:tcPr>
            <w:tcW w:w="1686" w:type="dxa"/>
          </w:tcPr>
          <w:p w14:paraId="4D054E6E" w14:textId="77777777" w:rsidR="0070611D" w:rsidRPr="001D2ADB" w:rsidRDefault="0070611D" w:rsidP="001D2ADB">
            <w:pPr>
              <w:spacing w:after="0"/>
              <w:rPr>
                <w:rFonts w:ascii="Arial" w:hAnsi="Arial" w:cs="Arial"/>
                <w:color w:val="000000"/>
              </w:rPr>
            </w:pPr>
            <w:r w:rsidRPr="001D2ADB">
              <w:rPr>
                <w:rFonts w:ascii="Arial" w:hAnsi="Arial" w:cs="Arial"/>
                <w:color w:val="000000"/>
              </w:rPr>
              <w:t>8 g/day divided twice daily before meals</w:t>
            </w:r>
          </w:p>
        </w:tc>
        <w:tc>
          <w:tcPr>
            <w:tcW w:w="1554" w:type="dxa"/>
          </w:tcPr>
          <w:p w14:paraId="5F9EA1E8" w14:textId="77777777" w:rsidR="0070611D" w:rsidRPr="001D2ADB" w:rsidRDefault="0070611D" w:rsidP="001D2ADB">
            <w:pPr>
              <w:spacing w:after="0"/>
              <w:rPr>
                <w:rFonts w:ascii="Arial" w:hAnsi="Arial" w:cs="Arial"/>
                <w:color w:val="000000"/>
              </w:rPr>
            </w:pPr>
            <w:r w:rsidRPr="001D2ADB">
              <w:rPr>
                <w:rFonts w:ascii="Arial" w:hAnsi="Arial" w:cs="Arial"/>
                <w:color w:val="000000"/>
              </w:rPr>
              <w:t>N/A</w:t>
            </w:r>
          </w:p>
        </w:tc>
        <w:tc>
          <w:tcPr>
            <w:tcW w:w="1890" w:type="dxa"/>
            <w:vMerge/>
          </w:tcPr>
          <w:p w14:paraId="63B63A37" w14:textId="77777777" w:rsidR="0070611D" w:rsidRPr="001D2ADB" w:rsidRDefault="0070611D" w:rsidP="001D2ADB">
            <w:pPr>
              <w:spacing w:after="0"/>
              <w:rPr>
                <w:rFonts w:ascii="Arial" w:hAnsi="Arial" w:cs="Arial"/>
                <w:color w:val="000000"/>
              </w:rPr>
            </w:pPr>
          </w:p>
        </w:tc>
      </w:tr>
    </w:tbl>
    <w:p w14:paraId="2D1C63D7" w14:textId="2AEB8A87" w:rsidR="0070611D" w:rsidRPr="001D2ADB" w:rsidRDefault="0070611D" w:rsidP="001D2ADB">
      <w:pPr>
        <w:autoSpaceDE w:val="0"/>
        <w:autoSpaceDN w:val="0"/>
        <w:adjustRightInd w:val="0"/>
        <w:spacing w:after="0"/>
        <w:rPr>
          <w:rFonts w:ascii="Arial" w:hAnsi="Arial" w:cs="Arial"/>
        </w:rPr>
      </w:pPr>
      <w:r w:rsidRPr="001D2ADB">
        <w:rPr>
          <w:rFonts w:ascii="Arial" w:hAnsi="Arial" w:cs="Arial"/>
        </w:rPr>
        <w:t xml:space="preserve">Colesevelam is approved as an adjunct to a diet that is low in cholesterol and saturated fat.  Colesevelam is approved for both males and females (females must be at least </w:t>
      </w:r>
      <w:r w:rsidR="006A6C95" w:rsidRPr="001D2ADB">
        <w:rPr>
          <w:rFonts w:ascii="Arial" w:hAnsi="Arial" w:cs="Arial"/>
        </w:rPr>
        <w:t>one-year</w:t>
      </w:r>
      <w:r w:rsidRPr="001D2ADB">
        <w:rPr>
          <w:rFonts w:ascii="Arial" w:hAnsi="Arial" w:cs="Arial"/>
        </w:rPr>
        <w:t xml:space="preserve"> post-menarche) if, despite an adequate diet and other non-pharmacologic measures, the following are present: LDL-C ≥ 190 mg/dL or LDL-C ≥ 160 mg/dL and the patient has a family history of premature cardiovascular disease or two or more cardiovascular disease risk factors</w:t>
      </w:r>
      <w:r w:rsidR="00C2798A">
        <w:rPr>
          <w:rFonts w:ascii="Arial" w:hAnsi="Arial" w:cs="Arial"/>
        </w:rPr>
        <w:t>.</w:t>
      </w:r>
      <w:r w:rsidRPr="001D2ADB">
        <w:rPr>
          <w:rFonts w:ascii="Arial" w:hAnsi="Arial" w:cs="Arial"/>
        </w:rPr>
        <w:br/>
        <w:t>Abbreviations: g=grams, mg=milligrams, kg=kilograms, N/A=not applicable</w:t>
      </w:r>
      <w:r w:rsidR="00C2798A">
        <w:rPr>
          <w:rFonts w:ascii="Arial" w:hAnsi="Arial" w:cs="Arial"/>
        </w:rPr>
        <w:t>.</w:t>
      </w:r>
    </w:p>
    <w:p w14:paraId="2867CC55" w14:textId="77777777" w:rsidR="00470B6C" w:rsidRPr="001D2ADB" w:rsidRDefault="00470B6C" w:rsidP="001D2ADB">
      <w:pPr>
        <w:autoSpaceDE w:val="0"/>
        <w:autoSpaceDN w:val="0"/>
        <w:adjustRightInd w:val="0"/>
        <w:spacing w:after="0"/>
        <w:rPr>
          <w:rFonts w:ascii="Arial" w:hAnsi="Arial" w:cs="Arial"/>
          <w:vertAlign w:val="superscript"/>
        </w:rPr>
      </w:pPr>
    </w:p>
    <w:tbl>
      <w:tblPr>
        <w:tblW w:w="8880" w:type="dxa"/>
        <w:tblInd w:w="93" w:type="dxa"/>
        <w:tblLook w:val="04A0" w:firstRow="1" w:lastRow="0" w:firstColumn="1" w:lastColumn="0" w:noHBand="0" w:noVBand="1"/>
      </w:tblPr>
      <w:tblGrid>
        <w:gridCol w:w="1740"/>
        <w:gridCol w:w="1745"/>
        <w:gridCol w:w="1663"/>
        <w:gridCol w:w="932"/>
        <w:gridCol w:w="935"/>
        <w:gridCol w:w="925"/>
        <w:gridCol w:w="940"/>
      </w:tblGrid>
      <w:tr w:rsidR="0070611D" w:rsidRPr="001D2ADB" w14:paraId="77310B43" w14:textId="77777777" w:rsidTr="005F69B3">
        <w:trPr>
          <w:trHeight w:val="315"/>
        </w:trPr>
        <w:tc>
          <w:tcPr>
            <w:tcW w:w="8880" w:type="dxa"/>
            <w:gridSpan w:val="7"/>
            <w:tcBorders>
              <w:top w:val="single" w:sz="8" w:space="0" w:color="auto"/>
              <w:left w:val="single" w:sz="8" w:space="0" w:color="auto"/>
              <w:bottom w:val="single" w:sz="8" w:space="0" w:color="000000"/>
              <w:right w:val="single" w:sz="8" w:space="0" w:color="000000"/>
            </w:tcBorders>
            <w:shd w:val="clear" w:color="auto" w:fill="FFFF00"/>
            <w:vAlign w:val="center"/>
          </w:tcPr>
          <w:p w14:paraId="22F04919" w14:textId="77777777" w:rsidR="0070611D" w:rsidRPr="001D2ADB" w:rsidRDefault="0070611D" w:rsidP="001D2ADB">
            <w:pPr>
              <w:spacing w:after="0"/>
              <w:rPr>
                <w:rFonts w:ascii="Arial" w:eastAsia="Times New Roman" w:hAnsi="Arial" w:cs="Arial"/>
                <w:b/>
                <w:bCs/>
                <w:color w:val="000000"/>
              </w:rPr>
            </w:pPr>
            <w:r w:rsidRPr="001D2ADB">
              <w:rPr>
                <w:rFonts w:ascii="Arial" w:eastAsia="Times New Roman" w:hAnsi="Arial" w:cs="Arial"/>
                <w:b/>
                <w:bCs/>
                <w:color w:val="000000"/>
              </w:rPr>
              <w:t>T</w:t>
            </w:r>
            <w:r w:rsidRPr="001D2ADB">
              <w:rPr>
                <w:rFonts w:ascii="Arial" w:eastAsia="Times New Roman" w:hAnsi="Arial" w:cs="Arial"/>
                <w:b/>
                <w:bCs/>
                <w:color w:val="000000"/>
                <w:shd w:val="clear" w:color="auto" w:fill="FFFF00"/>
              </w:rPr>
              <w:t>able 6. Bile Acid Sequestrant Results</w:t>
            </w:r>
          </w:p>
        </w:tc>
      </w:tr>
      <w:tr w:rsidR="0070611D" w:rsidRPr="001D2ADB" w14:paraId="220B34FD" w14:textId="77777777" w:rsidTr="005F69B3">
        <w:trPr>
          <w:trHeight w:val="315"/>
        </w:trPr>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89F89C" w14:textId="77777777" w:rsidR="0070611D" w:rsidRPr="001D2ADB" w:rsidRDefault="0070611D" w:rsidP="001D2ADB">
            <w:pPr>
              <w:spacing w:after="0"/>
              <w:rPr>
                <w:rFonts w:ascii="Arial" w:eastAsia="Times New Roman" w:hAnsi="Arial" w:cs="Arial"/>
                <w:b/>
                <w:bCs/>
                <w:color w:val="000000"/>
              </w:rPr>
            </w:pPr>
            <w:r w:rsidRPr="001D2ADB">
              <w:rPr>
                <w:rFonts w:ascii="Arial" w:eastAsia="Times New Roman" w:hAnsi="Arial" w:cs="Arial"/>
                <w:b/>
                <w:bCs/>
                <w:color w:val="000000"/>
              </w:rPr>
              <w:t>Study</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134878" w14:textId="77777777" w:rsidR="0070611D" w:rsidRPr="001D2ADB" w:rsidRDefault="0070611D" w:rsidP="001D2ADB">
            <w:pPr>
              <w:spacing w:after="0"/>
              <w:rPr>
                <w:rFonts w:ascii="Arial" w:eastAsia="Times New Roman" w:hAnsi="Arial" w:cs="Arial"/>
                <w:b/>
                <w:bCs/>
                <w:color w:val="000000"/>
              </w:rPr>
            </w:pPr>
            <w:r w:rsidRPr="001D2ADB">
              <w:rPr>
                <w:rFonts w:ascii="Arial" w:eastAsia="Times New Roman" w:hAnsi="Arial" w:cs="Arial"/>
                <w:b/>
                <w:bCs/>
                <w:color w:val="000000"/>
              </w:rPr>
              <w:t>Medication</w:t>
            </w:r>
          </w:p>
        </w:tc>
        <w:tc>
          <w:tcPr>
            <w:tcW w:w="1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D00E98" w14:textId="77777777" w:rsidR="0070611D" w:rsidRPr="001D2ADB" w:rsidRDefault="0070611D" w:rsidP="001D2ADB">
            <w:pPr>
              <w:spacing w:after="0"/>
              <w:rPr>
                <w:rFonts w:ascii="Arial" w:eastAsia="Times New Roman" w:hAnsi="Arial" w:cs="Arial"/>
                <w:b/>
                <w:bCs/>
                <w:color w:val="000000"/>
              </w:rPr>
            </w:pPr>
            <w:r w:rsidRPr="001D2ADB">
              <w:rPr>
                <w:rFonts w:ascii="Arial" w:eastAsia="Times New Roman" w:hAnsi="Arial" w:cs="Arial"/>
                <w:b/>
                <w:bCs/>
                <w:color w:val="000000"/>
              </w:rPr>
              <w:t>Dose</w:t>
            </w:r>
          </w:p>
        </w:tc>
        <w:tc>
          <w:tcPr>
            <w:tcW w:w="3840" w:type="dxa"/>
            <w:gridSpan w:val="4"/>
            <w:tcBorders>
              <w:top w:val="single" w:sz="8" w:space="0" w:color="auto"/>
              <w:left w:val="nil"/>
              <w:bottom w:val="single" w:sz="8" w:space="0" w:color="auto"/>
              <w:right w:val="single" w:sz="8" w:space="0" w:color="000000"/>
            </w:tcBorders>
            <w:shd w:val="clear" w:color="auto" w:fill="auto"/>
            <w:vAlign w:val="center"/>
            <w:hideMark/>
          </w:tcPr>
          <w:p w14:paraId="01CC9F62" w14:textId="77777777" w:rsidR="0070611D" w:rsidRPr="001D2ADB" w:rsidRDefault="0070611D" w:rsidP="001D2ADB">
            <w:pPr>
              <w:spacing w:after="0"/>
              <w:rPr>
                <w:rFonts w:ascii="Arial" w:eastAsia="Times New Roman" w:hAnsi="Arial" w:cs="Arial"/>
                <w:b/>
                <w:bCs/>
                <w:color w:val="000000"/>
              </w:rPr>
            </w:pPr>
            <w:r w:rsidRPr="001D2ADB">
              <w:rPr>
                <w:rFonts w:ascii="Arial" w:eastAsia="Times New Roman" w:hAnsi="Arial" w:cs="Arial"/>
                <w:b/>
                <w:bCs/>
                <w:color w:val="000000"/>
              </w:rPr>
              <w:t>Results</w:t>
            </w:r>
          </w:p>
        </w:tc>
      </w:tr>
      <w:tr w:rsidR="0070611D" w:rsidRPr="001D2ADB" w14:paraId="723BA830" w14:textId="77777777" w:rsidTr="005F69B3">
        <w:trPr>
          <w:trHeight w:val="315"/>
        </w:trPr>
        <w:tc>
          <w:tcPr>
            <w:tcW w:w="1800" w:type="dxa"/>
            <w:vMerge/>
            <w:tcBorders>
              <w:top w:val="single" w:sz="8" w:space="0" w:color="auto"/>
              <w:left w:val="single" w:sz="8" w:space="0" w:color="auto"/>
              <w:bottom w:val="single" w:sz="8" w:space="0" w:color="000000"/>
              <w:right w:val="single" w:sz="8" w:space="0" w:color="auto"/>
            </w:tcBorders>
            <w:vAlign w:val="center"/>
            <w:hideMark/>
          </w:tcPr>
          <w:p w14:paraId="22FCA535" w14:textId="77777777" w:rsidR="0070611D" w:rsidRPr="001D2ADB" w:rsidRDefault="0070611D" w:rsidP="001D2ADB">
            <w:pPr>
              <w:spacing w:after="0"/>
              <w:rPr>
                <w:rFonts w:ascii="Arial" w:eastAsia="Times New Roman" w:hAnsi="Arial" w:cs="Arial"/>
                <w:b/>
                <w:bCs/>
                <w:color w:val="000000"/>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515A9DD2" w14:textId="77777777" w:rsidR="0070611D" w:rsidRPr="001D2ADB" w:rsidRDefault="0070611D" w:rsidP="001D2ADB">
            <w:pPr>
              <w:spacing w:after="0"/>
              <w:rPr>
                <w:rFonts w:ascii="Arial" w:eastAsia="Times New Roman" w:hAnsi="Arial" w:cs="Arial"/>
                <w:b/>
                <w:bCs/>
                <w:color w:val="000000"/>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14:paraId="1C656AA4" w14:textId="77777777" w:rsidR="0070611D" w:rsidRPr="001D2ADB" w:rsidRDefault="0070611D" w:rsidP="001D2ADB">
            <w:pPr>
              <w:spacing w:after="0"/>
              <w:rPr>
                <w:rFonts w:ascii="Arial" w:eastAsia="Times New Roman" w:hAnsi="Arial" w:cs="Arial"/>
                <w:b/>
                <w:bCs/>
                <w:color w:val="000000"/>
              </w:rPr>
            </w:pPr>
          </w:p>
        </w:tc>
        <w:tc>
          <w:tcPr>
            <w:tcW w:w="960" w:type="dxa"/>
            <w:tcBorders>
              <w:top w:val="nil"/>
              <w:left w:val="nil"/>
              <w:bottom w:val="single" w:sz="8" w:space="0" w:color="auto"/>
              <w:right w:val="single" w:sz="8" w:space="0" w:color="auto"/>
            </w:tcBorders>
            <w:shd w:val="clear" w:color="auto" w:fill="auto"/>
            <w:vAlign w:val="center"/>
            <w:hideMark/>
          </w:tcPr>
          <w:p w14:paraId="79B8D7E3" w14:textId="77777777" w:rsidR="0070611D" w:rsidRPr="001D2ADB" w:rsidRDefault="0070611D" w:rsidP="001D2ADB">
            <w:pPr>
              <w:spacing w:after="0"/>
              <w:rPr>
                <w:rFonts w:ascii="Arial" w:eastAsia="Times New Roman" w:hAnsi="Arial" w:cs="Arial"/>
                <w:b/>
                <w:bCs/>
                <w:color w:val="000000"/>
              </w:rPr>
            </w:pPr>
            <w:r w:rsidRPr="001D2ADB">
              <w:rPr>
                <w:rFonts w:ascii="Arial" w:eastAsia="Times New Roman" w:hAnsi="Arial" w:cs="Arial"/>
                <w:b/>
                <w:bCs/>
                <w:color w:val="000000"/>
              </w:rPr>
              <w:t>LDL-C</w:t>
            </w:r>
          </w:p>
        </w:tc>
        <w:tc>
          <w:tcPr>
            <w:tcW w:w="960" w:type="dxa"/>
            <w:tcBorders>
              <w:top w:val="nil"/>
              <w:left w:val="nil"/>
              <w:bottom w:val="single" w:sz="8" w:space="0" w:color="auto"/>
              <w:right w:val="single" w:sz="8" w:space="0" w:color="auto"/>
            </w:tcBorders>
            <w:shd w:val="clear" w:color="auto" w:fill="auto"/>
            <w:vAlign w:val="center"/>
            <w:hideMark/>
          </w:tcPr>
          <w:p w14:paraId="433F1627" w14:textId="77777777" w:rsidR="0070611D" w:rsidRPr="001D2ADB" w:rsidRDefault="0070611D" w:rsidP="001D2ADB">
            <w:pPr>
              <w:spacing w:after="0"/>
              <w:rPr>
                <w:rFonts w:ascii="Arial" w:eastAsia="Times New Roman" w:hAnsi="Arial" w:cs="Arial"/>
                <w:b/>
                <w:bCs/>
                <w:color w:val="000000"/>
              </w:rPr>
            </w:pPr>
            <w:r w:rsidRPr="001D2ADB">
              <w:rPr>
                <w:rFonts w:ascii="Arial" w:eastAsia="Times New Roman" w:hAnsi="Arial" w:cs="Arial"/>
                <w:b/>
                <w:bCs/>
                <w:color w:val="000000"/>
              </w:rPr>
              <w:t>HDL-C</w:t>
            </w:r>
          </w:p>
        </w:tc>
        <w:tc>
          <w:tcPr>
            <w:tcW w:w="960" w:type="dxa"/>
            <w:tcBorders>
              <w:top w:val="nil"/>
              <w:left w:val="nil"/>
              <w:bottom w:val="single" w:sz="8" w:space="0" w:color="auto"/>
              <w:right w:val="single" w:sz="8" w:space="0" w:color="auto"/>
            </w:tcBorders>
            <w:shd w:val="clear" w:color="auto" w:fill="auto"/>
            <w:vAlign w:val="center"/>
            <w:hideMark/>
          </w:tcPr>
          <w:p w14:paraId="6641A537" w14:textId="77777777" w:rsidR="0070611D" w:rsidRPr="001D2ADB" w:rsidRDefault="0070611D" w:rsidP="001D2ADB">
            <w:pPr>
              <w:spacing w:after="0"/>
              <w:rPr>
                <w:rFonts w:ascii="Arial" w:eastAsia="Times New Roman" w:hAnsi="Arial" w:cs="Arial"/>
                <w:b/>
                <w:bCs/>
                <w:color w:val="000000"/>
              </w:rPr>
            </w:pPr>
            <w:r w:rsidRPr="001D2ADB">
              <w:rPr>
                <w:rFonts w:ascii="Arial" w:eastAsia="Times New Roman" w:hAnsi="Arial" w:cs="Arial"/>
                <w:b/>
                <w:bCs/>
                <w:color w:val="000000"/>
              </w:rPr>
              <w:t>TC</w:t>
            </w:r>
          </w:p>
        </w:tc>
        <w:tc>
          <w:tcPr>
            <w:tcW w:w="960" w:type="dxa"/>
            <w:tcBorders>
              <w:top w:val="nil"/>
              <w:left w:val="nil"/>
              <w:bottom w:val="single" w:sz="8" w:space="0" w:color="auto"/>
              <w:right w:val="single" w:sz="8" w:space="0" w:color="auto"/>
            </w:tcBorders>
            <w:shd w:val="clear" w:color="auto" w:fill="auto"/>
            <w:vAlign w:val="center"/>
            <w:hideMark/>
          </w:tcPr>
          <w:p w14:paraId="7F6C2105" w14:textId="77777777" w:rsidR="0070611D" w:rsidRPr="001D2ADB" w:rsidRDefault="0070611D" w:rsidP="001D2ADB">
            <w:pPr>
              <w:spacing w:after="0"/>
              <w:rPr>
                <w:rFonts w:ascii="Arial" w:eastAsia="Times New Roman" w:hAnsi="Arial" w:cs="Arial"/>
                <w:b/>
                <w:bCs/>
                <w:color w:val="000000"/>
              </w:rPr>
            </w:pPr>
            <w:r w:rsidRPr="001D2ADB">
              <w:rPr>
                <w:rFonts w:ascii="Arial" w:eastAsia="Times New Roman" w:hAnsi="Arial" w:cs="Arial"/>
                <w:b/>
                <w:bCs/>
                <w:color w:val="000000"/>
              </w:rPr>
              <w:t>TG</w:t>
            </w:r>
          </w:p>
        </w:tc>
      </w:tr>
      <w:tr w:rsidR="0070611D" w:rsidRPr="001D2ADB" w14:paraId="09E44CD4" w14:textId="77777777" w:rsidTr="005F69B3">
        <w:trPr>
          <w:trHeight w:val="315"/>
        </w:trPr>
        <w:tc>
          <w:tcPr>
            <w:tcW w:w="1800" w:type="dxa"/>
            <w:tcBorders>
              <w:top w:val="nil"/>
              <w:left w:val="single" w:sz="8" w:space="0" w:color="auto"/>
              <w:bottom w:val="nil"/>
              <w:right w:val="single" w:sz="8" w:space="0" w:color="auto"/>
            </w:tcBorders>
            <w:shd w:val="clear" w:color="auto" w:fill="auto"/>
            <w:vAlign w:val="center"/>
            <w:hideMark/>
          </w:tcPr>
          <w:p w14:paraId="75B01E83" w14:textId="716C5641"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Stein, et al</w:t>
            </w:r>
            <w:r w:rsidR="002A4FEE" w:rsidRPr="001D2ADB">
              <w:rPr>
                <w:rFonts w:ascii="Arial" w:eastAsia="Times New Roman" w:hAnsi="Arial" w:cs="Arial"/>
                <w:color w:val="000000"/>
              </w:rPr>
              <w:t xml:space="preserve"> (</w:t>
            </w:r>
            <w:r w:rsidR="00F0157D" w:rsidRPr="001D2ADB">
              <w:rPr>
                <w:rFonts w:ascii="Arial" w:eastAsia="Times New Roman" w:hAnsi="Arial" w:cs="Arial"/>
                <w:color w:val="000000"/>
              </w:rPr>
              <w:t>40</w:t>
            </w:r>
            <w:r w:rsidR="002A4FEE" w:rsidRPr="001D2ADB">
              <w:rPr>
                <w:rFonts w:ascii="Arial" w:eastAsia="Times New Roman" w:hAnsi="Arial" w:cs="Arial"/>
                <w:color w:val="000000"/>
              </w:rPr>
              <w:t>)</w:t>
            </w:r>
          </w:p>
        </w:tc>
        <w:tc>
          <w:tcPr>
            <w:tcW w:w="1540" w:type="dxa"/>
            <w:tcBorders>
              <w:top w:val="nil"/>
              <w:left w:val="nil"/>
              <w:bottom w:val="nil"/>
              <w:right w:val="single" w:sz="8" w:space="0" w:color="auto"/>
            </w:tcBorders>
            <w:shd w:val="clear" w:color="auto" w:fill="auto"/>
            <w:vAlign w:val="center"/>
            <w:hideMark/>
          </w:tcPr>
          <w:p w14:paraId="008F8925"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Colesevelam</w:t>
            </w:r>
          </w:p>
        </w:tc>
        <w:tc>
          <w:tcPr>
            <w:tcW w:w="1700" w:type="dxa"/>
            <w:tcBorders>
              <w:top w:val="nil"/>
              <w:left w:val="nil"/>
              <w:bottom w:val="nil"/>
              <w:right w:val="single" w:sz="8" w:space="0" w:color="auto"/>
            </w:tcBorders>
            <w:shd w:val="clear" w:color="auto" w:fill="auto"/>
            <w:vAlign w:val="center"/>
            <w:hideMark/>
          </w:tcPr>
          <w:p w14:paraId="1D8D062B"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1.875 g/day</w:t>
            </w:r>
          </w:p>
        </w:tc>
        <w:tc>
          <w:tcPr>
            <w:tcW w:w="960" w:type="dxa"/>
            <w:tcBorders>
              <w:top w:val="nil"/>
              <w:left w:val="nil"/>
              <w:bottom w:val="single" w:sz="8" w:space="0" w:color="auto"/>
              <w:right w:val="single" w:sz="8" w:space="0" w:color="auto"/>
            </w:tcBorders>
            <w:shd w:val="clear" w:color="auto" w:fill="auto"/>
            <w:vAlign w:val="center"/>
            <w:hideMark/>
          </w:tcPr>
          <w:p w14:paraId="46325C2A"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-6%</w:t>
            </w:r>
          </w:p>
        </w:tc>
        <w:tc>
          <w:tcPr>
            <w:tcW w:w="960" w:type="dxa"/>
            <w:tcBorders>
              <w:top w:val="nil"/>
              <w:left w:val="nil"/>
              <w:bottom w:val="single" w:sz="8" w:space="0" w:color="auto"/>
              <w:right w:val="single" w:sz="8" w:space="0" w:color="auto"/>
            </w:tcBorders>
            <w:shd w:val="clear" w:color="auto" w:fill="auto"/>
            <w:vAlign w:val="center"/>
            <w:hideMark/>
          </w:tcPr>
          <w:p w14:paraId="1506939C"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+5%</w:t>
            </w:r>
          </w:p>
        </w:tc>
        <w:tc>
          <w:tcPr>
            <w:tcW w:w="960" w:type="dxa"/>
            <w:tcBorders>
              <w:top w:val="nil"/>
              <w:left w:val="nil"/>
              <w:bottom w:val="single" w:sz="8" w:space="0" w:color="auto"/>
              <w:right w:val="single" w:sz="8" w:space="0" w:color="auto"/>
            </w:tcBorders>
            <w:shd w:val="clear" w:color="auto" w:fill="auto"/>
            <w:vAlign w:val="center"/>
            <w:hideMark/>
          </w:tcPr>
          <w:p w14:paraId="38598976"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-3%</w:t>
            </w:r>
          </w:p>
        </w:tc>
        <w:tc>
          <w:tcPr>
            <w:tcW w:w="960" w:type="dxa"/>
            <w:tcBorders>
              <w:top w:val="nil"/>
              <w:left w:val="nil"/>
              <w:bottom w:val="single" w:sz="8" w:space="0" w:color="auto"/>
              <w:right w:val="single" w:sz="8" w:space="0" w:color="auto"/>
            </w:tcBorders>
            <w:shd w:val="clear" w:color="auto" w:fill="auto"/>
            <w:vAlign w:val="center"/>
            <w:hideMark/>
          </w:tcPr>
          <w:p w14:paraId="5DFB39C6"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+6%</w:t>
            </w:r>
          </w:p>
        </w:tc>
      </w:tr>
      <w:tr w:rsidR="0070611D" w:rsidRPr="001D2ADB" w14:paraId="5F61B1A2" w14:textId="77777777" w:rsidTr="005F69B3">
        <w:trPr>
          <w:trHeight w:val="31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642A13" w14:textId="07F268DE"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Stein, et al</w:t>
            </w:r>
            <w:r w:rsidR="00F0157D" w:rsidRPr="001D2ADB">
              <w:rPr>
                <w:rFonts w:ascii="Arial" w:eastAsia="Times New Roman" w:hAnsi="Arial" w:cs="Arial"/>
                <w:color w:val="000000"/>
              </w:rPr>
              <w:t xml:space="preserve"> (40)</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1BAED234"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Colesevelam</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14:paraId="1CC2CA51"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3.75 g/day</w:t>
            </w:r>
          </w:p>
        </w:tc>
        <w:tc>
          <w:tcPr>
            <w:tcW w:w="960" w:type="dxa"/>
            <w:tcBorders>
              <w:top w:val="nil"/>
              <w:left w:val="nil"/>
              <w:bottom w:val="single" w:sz="8" w:space="0" w:color="auto"/>
              <w:right w:val="single" w:sz="8" w:space="0" w:color="auto"/>
            </w:tcBorders>
            <w:shd w:val="clear" w:color="auto" w:fill="auto"/>
            <w:vAlign w:val="center"/>
            <w:hideMark/>
          </w:tcPr>
          <w:p w14:paraId="77D84C74"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-13%</w:t>
            </w:r>
          </w:p>
        </w:tc>
        <w:tc>
          <w:tcPr>
            <w:tcW w:w="960" w:type="dxa"/>
            <w:tcBorders>
              <w:top w:val="nil"/>
              <w:left w:val="nil"/>
              <w:bottom w:val="single" w:sz="8" w:space="0" w:color="auto"/>
              <w:right w:val="single" w:sz="8" w:space="0" w:color="auto"/>
            </w:tcBorders>
            <w:shd w:val="clear" w:color="auto" w:fill="auto"/>
            <w:vAlign w:val="center"/>
            <w:hideMark/>
          </w:tcPr>
          <w:p w14:paraId="3FFA05D6"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+8%</w:t>
            </w:r>
          </w:p>
        </w:tc>
        <w:tc>
          <w:tcPr>
            <w:tcW w:w="960" w:type="dxa"/>
            <w:tcBorders>
              <w:top w:val="nil"/>
              <w:left w:val="nil"/>
              <w:bottom w:val="single" w:sz="8" w:space="0" w:color="auto"/>
              <w:right w:val="single" w:sz="8" w:space="0" w:color="auto"/>
            </w:tcBorders>
            <w:shd w:val="clear" w:color="auto" w:fill="auto"/>
            <w:vAlign w:val="center"/>
            <w:hideMark/>
          </w:tcPr>
          <w:p w14:paraId="75BEBAC8"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-7%</w:t>
            </w:r>
          </w:p>
        </w:tc>
        <w:tc>
          <w:tcPr>
            <w:tcW w:w="960" w:type="dxa"/>
            <w:tcBorders>
              <w:top w:val="nil"/>
              <w:left w:val="nil"/>
              <w:bottom w:val="single" w:sz="8" w:space="0" w:color="auto"/>
              <w:right w:val="single" w:sz="8" w:space="0" w:color="auto"/>
            </w:tcBorders>
            <w:shd w:val="clear" w:color="auto" w:fill="auto"/>
            <w:vAlign w:val="center"/>
            <w:hideMark/>
          </w:tcPr>
          <w:p w14:paraId="311074E8"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+5%</w:t>
            </w:r>
          </w:p>
        </w:tc>
      </w:tr>
      <w:tr w:rsidR="0070611D" w:rsidRPr="001D2ADB" w14:paraId="34418666" w14:textId="77777777" w:rsidTr="005F69B3">
        <w:trPr>
          <w:trHeight w:val="330"/>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41E88D63" w14:textId="7A192764"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McCrindle, et al</w:t>
            </w:r>
            <w:r w:rsidR="002A4FEE" w:rsidRPr="001D2ADB">
              <w:rPr>
                <w:rFonts w:ascii="Arial" w:eastAsia="Times New Roman" w:hAnsi="Arial" w:cs="Arial"/>
                <w:color w:val="000000"/>
              </w:rPr>
              <w:t xml:space="preserve"> (</w:t>
            </w:r>
            <w:r w:rsidR="00F0157D" w:rsidRPr="001D2ADB">
              <w:rPr>
                <w:rFonts w:ascii="Arial" w:eastAsia="Times New Roman" w:hAnsi="Arial" w:cs="Arial"/>
                <w:color w:val="000000"/>
              </w:rPr>
              <w:t>43</w:t>
            </w:r>
            <w:r w:rsidR="002A4FEE" w:rsidRPr="001D2ADB">
              <w:rPr>
                <w:rFonts w:ascii="Arial" w:eastAsia="Times New Roman" w:hAnsi="Arial" w:cs="Arial"/>
                <w:color w:val="000000"/>
              </w:rPr>
              <w:t>)</w:t>
            </w:r>
          </w:p>
        </w:tc>
        <w:tc>
          <w:tcPr>
            <w:tcW w:w="1540" w:type="dxa"/>
            <w:tcBorders>
              <w:top w:val="nil"/>
              <w:left w:val="nil"/>
              <w:bottom w:val="single" w:sz="8" w:space="0" w:color="auto"/>
              <w:right w:val="single" w:sz="8" w:space="0" w:color="auto"/>
            </w:tcBorders>
            <w:shd w:val="clear" w:color="auto" w:fill="auto"/>
            <w:vAlign w:val="center"/>
            <w:hideMark/>
          </w:tcPr>
          <w:p w14:paraId="1184DA45"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Colestipol</w:t>
            </w:r>
          </w:p>
        </w:tc>
        <w:tc>
          <w:tcPr>
            <w:tcW w:w="1700" w:type="dxa"/>
            <w:tcBorders>
              <w:top w:val="nil"/>
              <w:left w:val="nil"/>
              <w:bottom w:val="single" w:sz="8" w:space="0" w:color="auto"/>
              <w:right w:val="single" w:sz="8" w:space="0" w:color="auto"/>
            </w:tcBorders>
            <w:shd w:val="clear" w:color="auto" w:fill="auto"/>
            <w:vAlign w:val="center"/>
            <w:hideMark/>
          </w:tcPr>
          <w:p w14:paraId="30B65199"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10 g/day</w:t>
            </w:r>
          </w:p>
        </w:tc>
        <w:tc>
          <w:tcPr>
            <w:tcW w:w="960" w:type="dxa"/>
            <w:tcBorders>
              <w:top w:val="nil"/>
              <w:left w:val="nil"/>
              <w:bottom w:val="single" w:sz="8" w:space="0" w:color="auto"/>
              <w:right w:val="single" w:sz="8" w:space="0" w:color="auto"/>
            </w:tcBorders>
            <w:shd w:val="clear" w:color="auto" w:fill="auto"/>
            <w:vAlign w:val="center"/>
            <w:hideMark/>
          </w:tcPr>
          <w:p w14:paraId="5D652DD3"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-10%</w:t>
            </w:r>
          </w:p>
        </w:tc>
        <w:tc>
          <w:tcPr>
            <w:tcW w:w="960" w:type="dxa"/>
            <w:tcBorders>
              <w:top w:val="nil"/>
              <w:left w:val="nil"/>
              <w:bottom w:val="single" w:sz="8" w:space="0" w:color="auto"/>
              <w:right w:val="single" w:sz="8" w:space="0" w:color="auto"/>
            </w:tcBorders>
            <w:shd w:val="clear" w:color="auto" w:fill="auto"/>
            <w:vAlign w:val="center"/>
            <w:hideMark/>
          </w:tcPr>
          <w:p w14:paraId="0D9BF04A"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+2%</w:t>
            </w:r>
          </w:p>
        </w:tc>
        <w:tc>
          <w:tcPr>
            <w:tcW w:w="960" w:type="dxa"/>
            <w:tcBorders>
              <w:top w:val="nil"/>
              <w:left w:val="nil"/>
              <w:bottom w:val="single" w:sz="8" w:space="0" w:color="auto"/>
              <w:right w:val="single" w:sz="8" w:space="0" w:color="auto"/>
            </w:tcBorders>
            <w:shd w:val="clear" w:color="auto" w:fill="auto"/>
            <w:vAlign w:val="center"/>
            <w:hideMark/>
          </w:tcPr>
          <w:p w14:paraId="325E0B4B"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-7%</w:t>
            </w:r>
          </w:p>
        </w:tc>
        <w:tc>
          <w:tcPr>
            <w:tcW w:w="960" w:type="dxa"/>
            <w:tcBorders>
              <w:top w:val="nil"/>
              <w:left w:val="nil"/>
              <w:bottom w:val="single" w:sz="8" w:space="0" w:color="auto"/>
              <w:right w:val="single" w:sz="8" w:space="0" w:color="auto"/>
            </w:tcBorders>
            <w:shd w:val="clear" w:color="auto" w:fill="auto"/>
            <w:vAlign w:val="center"/>
            <w:hideMark/>
          </w:tcPr>
          <w:p w14:paraId="5CE40FDD"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+12%</w:t>
            </w:r>
          </w:p>
        </w:tc>
      </w:tr>
      <w:tr w:rsidR="0070611D" w:rsidRPr="001D2ADB" w14:paraId="22937A1A" w14:textId="77777777" w:rsidTr="005F69B3">
        <w:trPr>
          <w:trHeight w:val="825"/>
        </w:trPr>
        <w:tc>
          <w:tcPr>
            <w:tcW w:w="1800" w:type="dxa"/>
            <w:tcBorders>
              <w:top w:val="nil"/>
              <w:left w:val="single" w:sz="8" w:space="0" w:color="auto"/>
              <w:bottom w:val="nil"/>
              <w:right w:val="single" w:sz="8" w:space="0" w:color="auto"/>
            </w:tcBorders>
            <w:shd w:val="clear" w:color="auto" w:fill="auto"/>
            <w:vAlign w:val="center"/>
            <w:hideMark/>
          </w:tcPr>
          <w:p w14:paraId="50CDCD39" w14:textId="7E3E2F7F"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McCrindle, et al</w:t>
            </w:r>
            <w:r w:rsidR="00F0157D" w:rsidRPr="001D2ADB">
              <w:rPr>
                <w:rFonts w:ascii="Arial" w:eastAsia="Times New Roman" w:hAnsi="Arial" w:cs="Arial"/>
                <w:color w:val="000000"/>
              </w:rPr>
              <w:t xml:space="preserve"> (43</w:t>
            </w:r>
            <w:r w:rsidR="002A4FEE" w:rsidRPr="001D2ADB">
              <w:rPr>
                <w:rFonts w:ascii="Arial" w:eastAsia="Times New Roman" w:hAnsi="Arial" w:cs="Arial"/>
                <w:color w:val="000000"/>
              </w:rPr>
              <w:t>)</w:t>
            </w:r>
          </w:p>
        </w:tc>
        <w:tc>
          <w:tcPr>
            <w:tcW w:w="1540" w:type="dxa"/>
            <w:tcBorders>
              <w:top w:val="nil"/>
              <w:left w:val="nil"/>
              <w:bottom w:val="nil"/>
              <w:right w:val="single" w:sz="8" w:space="0" w:color="auto"/>
            </w:tcBorders>
            <w:shd w:val="clear" w:color="auto" w:fill="auto"/>
            <w:vAlign w:val="center"/>
            <w:hideMark/>
          </w:tcPr>
          <w:p w14:paraId="0246D934"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Colestipol &amp; Pravastatin</w:t>
            </w:r>
          </w:p>
        </w:tc>
        <w:tc>
          <w:tcPr>
            <w:tcW w:w="1700" w:type="dxa"/>
            <w:tcBorders>
              <w:top w:val="nil"/>
              <w:left w:val="nil"/>
              <w:bottom w:val="nil"/>
              <w:right w:val="single" w:sz="8" w:space="0" w:color="auto"/>
            </w:tcBorders>
            <w:shd w:val="clear" w:color="auto" w:fill="auto"/>
            <w:vAlign w:val="center"/>
            <w:hideMark/>
          </w:tcPr>
          <w:p w14:paraId="73075D08"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Colestipol: 5 g/day</w:t>
            </w:r>
            <w:r w:rsidRPr="001D2ADB">
              <w:rPr>
                <w:rFonts w:ascii="Arial" w:eastAsia="Times New Roman" w:hAnsi="Arial" w:cs="Arial"/>
                <w:color w:val="000000"/>
              </w:rPr>
              <w:br/>
              <w:t>Pravastatin: 10 mg/day</w:t>
            </w:r>
          </w:p>
        </w:tc>
        <w:tc>
          <w:tcPr>
            <w:tcW w:w="960" w:type="dxa"/>
            <w:tcBorders>
              <w:top w:val="nil"/>
              <w:left w:val="nil"/>
              <w:bottom w:val="single" w:sz="8" w:space="0" w:color="auto"/>
              <w:right w:val="single" w:sz="8" w:space="0" w:color="auto"/>
            </w:tcBorders>
            <w:shd w:val="clear" w:color="auto" w:fill="auto"/>
            <w:vAlign w:val="center"/>
            <w:hideMark/>
          </w:tcPr>
          <w:p w14:paraId="7C88DE23"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-17%</w:t>
            </w:r>
          </w:p>
        </w:tc>
        <w:tc>
          <w:tcPr>
            <w:tcW w:w="960" w:type="dxa"/>
            <w:tcBorders>
              <w:top w:val="nil"/>
              <w:left w:val="nil"/>
              <w:bottom w:val="single" w:sz="8" w:space="0" w:color="auto"/>
              <w:right w:val="single" w:sz="8" w:space="0" w:color="auto"/>
            </w:tcBorders>
            <w:shd w:val="clear" w:color="auto" w:fill="auto"/>
            <w:vAlign w:val="center"/>
            <w:hideMark/>
          </w:tcPr>
          <w:p w14:paraId="29BEDA94"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+4%</w:t>
            </w:r>
          </w:p>
        </w:tc>
        <w:tc>
          <w:tcPr>
            <w:tcW w:w="960" w:type="dxa"/>
            <w:tcBorders>
              <w:top w:val="nil"/>
              <w:left w:val="nil"/>
              <w:bottom w:val="single" w:sz="8" w:space="0" w:color="auto"/>
              <w:right w:val="single" w:sz="8" w:space="0" w:color="auto"/>
            </w:tcBorders>
            <w:shd w:val="clear" w:color="auto" w:fill="auto"/>
            <w:vAlign w:val="center"/>
            <w:hideMark/>
          </w:tcPr>
          <w:p w14:paraId="19D42EF8"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-13%</w:t>
            </w:r>
          </w:p>
        </w:tc>
        <w:tc>
          <w:tcPr>
            <w:tcW w:w="960" w:type="dxa"/>
            <w:tcBorders>
              <w:top w:val="nil"/>
              <w:left w:val="nil"/>
              <w:bottom w:val="single" w:sz="8" w:space="0" w:color="auto"/>
              <w:right w:val="single" w:sz="8" w:space="0" w:color="auto"/>
            </w:tcBorders>
            <w:shd w:val="clear" w:color="auto" w:fill="auto"/>
            <w:vAlign w:val="center"/>
            <w:hideMark/>
          </w:tcPr>
          <w:p w14:paraId="7C1A9357"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+8%</w:t>
            </w:r>
          </w:p>
        </w:tc>
      </w:tr>
      <w:tr w:rsidR="0070611D" w:rsidRPr="001D2ADB" w14:paraId="7B9D11B3" w14:textId="77777777" w:rsidTr="005F69B3">
        <w:trPr>
          <w:trHeight w:val="31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BFF6EA" w14:textId="5E621A63" w:rsidR="0070611D" w:rsidRPr="001D2ADB" w:rsidRDefault="0070611D" w:rsidP="001D2ADB">
            <w:pPr>
              <w:spacing w:after="0"/>
              <w:rPr>
                <w:rFonts w:ascii="Arial" w:eastAsia="Times New Roman" w:hAnsi="Arial" w:cs="Arial"/>
                <w:color w:val="000000"/>
                <w:vertAlign w:val="superscript"/>
              </w:rPr>
            </w:pPr>
            <w:r w:rsidRPr="001D2ADB">
              <w:rPr>
                <w:rFonts w:ascii="Arial" w:eastAsia="Times New Roman" w:hAnsi="Arial" w:cs="Arial"/>
                <w:color w:val="000000"/>
              </w:rPr>
              <w:t>Tonstad, et al</w:t>
            </w:r>
            <w:r w:rsidR="00F0157D" w:rsidRPr="001D2ADB">
              <w:rPr>
                <w:rFonts w:ascii="Arial" w:eastAsia="Times New Roman" w:hAnsi="Arial" w:cs="Arial"/>
                <w:color w:val="000000"/>
              </w:rPr>
              <w:t xml:space="preserve"> (44</w:t>
            </w:r>
            <w:r w:rsidR="002A4FEE" w:rsidRPr="001D2ADB">
              <w:rPr>
                <w:rFonts w:ascii="Arial" w:eastAsia="Times New Roman" w:hAnsi="Arial" w:cs="Arial"/>
                <w:color w:val="000000"/>
              </w:rPr>
              <w:t>)</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75701CB6"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Colestipol</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14:paraId="690A6AAD"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2-12 g/day</w:t>
            </w:r>
          </w:p>
        </w:tc>
        <w:tc>
          <w:tcPr>
            <w:tcW w:w="960" w:type="dxa"/>
            <w:tcBorders>
              <w:top w:val="nil"/>
              <w:left w:val="nil"/>
              <w:bottom w:val="single" w:sz="8" w:space="0" w:color="auto"/>
              <w:right w:val="single" w:sz="8" w:space="0" w:color="auto"/>
            </w:tcBorders>
            <w:shd w:val="clear" w:color="auto" w:fill="auto"/>
            <w:vAlign w:val="center"/>
            <w:hideMark/>
          </w:tcPr>
          <w:p w14:paraId="4FAB52BA"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-20%</w:t>
            </w:r>
          </w:p>
        </w:tc>
        <w:tc>
          <w:tcPr>
            <w:tcW w:w="960" w:type="dxa"/>
            <w:tcBorders>
              <w:top w:val="nil"/>
              <w:left w:val="nil"/>
              <w:bottom w:val="single" w:sz="8" w:space="0" w:color="auto"/>
              <w:right w:val="single" w:sz="8" w:space="0" w:color="auto"/>
            </w:tcBorders>
            <w:shd w:val="clear" w:color="auto" w:fill="auto"/>
            <w:vAlign w:val="center"/>
            <w:hideMark/>
          </w:tcPr>
          <w:p w14:paraId="7A918847"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-7%</w:t>
            </w:r>
          </w:p>
        </w:tc>
        <w:tc>
          <w:tcPr>
            <w:tcW w:w="960" w:type="dxa"/>
            <w:tcBorders>
              <w:top w:val="nil"/>
              <w:left w:val="nil"/>
              <w:bottom w:val="single" w:sz="8" w:space="0" w:color="auto"/>
              <w:right w:val="single" w:sz="8" w:space="0" w:color="auto"/>
            </w:tcBorders>
            <w:shd w:val="clear" w:color="auto" w:fill="auto"/>
            <w:vAlign w:val="center"/>
            <w:hideMark/>
          </w:tcPr>
          <w:p w14:paraId="3C25FC69"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-17%</w:t>
            </w:r>
          </w:p>
        </w:tc>
        <w:tc>
          <w:tcPr>
            <w:tcW w:w="960" w:type="dxa"/>
            <w:tcBorders>
              <w:top w:val="nil"/>
              <w:left w:val="nil"/>
              <w:bottom w:val="single" w:sz="8" w:space="0" w:color="auto"/>
              <w:right w:val="single" w:sz="8" w:space="0" w:color="auto"/>
            </w:tcBorders>
            <w:shd w:val="clear" w:color="auto" w:fill="auto"/>
            <w:vAlign w:val="center"/>
            <w:hideMark/>
          </w:tcPr>
          <w:p w14:paraId="18512249"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-13%</w:t>
            </w:r>
          </w:p>
        </w:tc>
      </w:tr>
      <w:tr w:rsidR="0070611D" w:rsidRPr="001D2ADB" w14:paraId="53417EC7" w14:textId="77777777" w:rsidTr="005F69B3">
        <w:trPr>
          <w:trHeight w:val="540"/>
        </w:trPr>
        <w:tc>
          <w:tcPr>
            <w:tcW w:w="1800" w:type="dxa"/>
            <w:tcBorders>
              <w:top w:val="nil"/>
              <w:left w:val="single" w:sz="8" w:space="0" w:color="auto"/>
              <w:bottom w:val="nil"/>
              <w:right w:val="single" w:sz="8" w:space="0" w:color="auto"/>
            </w:tcBorders>
            <w:shd w:val="clear" w:color="auto" w:fill="auto"/>
            <w:vAlign w:val="center"/>
            <w:hideMark/>
          </w:tcPr>
          <w:p w14:paraId="53BCEF4C" w14:textId="03374F52"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McCrindle, et al</w:t>
            </w:r>
            <w:r w:rsidR="002A4FEE" w:rsidRPr="001D2ADB">
              <w:rPr>
                <w:rFonts w:ascii="Arial" w:eastAsia="Times New Roman" w:hAnsi="Arial" w:cs="Arial"/>
                <w:color w:val="000000"/>
              </w:rPr>
              <w:t xml:space="preserve"> (</w:t>
            </w:r>
            <w:r w:rsidR="00F0157D" w:rsidRPr="001D2ADB">
              <w:rPr>
                <w:rFonts w:ascii="Arial" w:eastAsia="Times New Roman" w:hAnsi="Arial" w:cs="Arial"/>
                <w:color w:val="000000"/>
              </w:rPr>
              <w:t>48</w:t>
            </w:r>
            <w:r w:rsidR="002A4FEE" w:rsidRPr="001D2ADB">
              <w:rPr>
                <w:rFonts w:ascii="Arial" w:eastAsia="Times New Roman" w:hAnsi="Arial" w:cs="Arial"/>
                <w:color w:val="000000"/>
              </w:rPr>
              <w:t>)</w:t>
            </w:r>
          </w:p>
        </w:tc>
        <w:tc>
          <w:tcPr>
            <w:tcW w:w="1540" w:type="dxa"/>
            <w:tcBorders>
              <w:top w:val="nil"/>
              <w:left w:val="nil"/>
              <w:bottom w:val="nil"/>
              <w:right w:val="single" w:sz="8" w:space="0" w:color="auto"/>
            </w:tcBorders>
            <w:shd w:val="clear" w:color="auto" w:fill="auto"/>
            <w:vAlign w:val="center"/>
            <w:hideMark/>
          </w:tcPr>
          <w:p w14:paraId="12350669"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Cholestyramine</w:t>
            </w:r>
          </w:p>
        </w:tc>
        <w:tc>
          <w:tcPr>
            <w:tcW w:w="1700" w:type="dxa"/>
            <w:tcBorders>
              <w:top w:val="nil"/>
              <w:left w:val="nil"/>
              <w:bottom w:val="nil"/>
              <w:right w:val="single" w:sz="8" w:space="0" w:color="auto"/>
            </w:tcBorders>
            <w:shd w:val="clear" w:color="auto" w:fill="auto"/>
            <w:vAlign w:val="center"/>
            <w:hideMark/>
          </w:tcPr>
          <w:p w14:paraId="1743AEC8"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8 g/day</w:t>
            </w:r>
          </w:p>
        </w:tc>
        <w:tc>
          <w:tcPr>
            <w:tcW w:w="960" w:type="dxa"/>
            <w:tcBorders>
              <w:top w:val="nil"/>
              <w:left w:val="nil"/>
              <w:bottom w:val="single" w:sz="8" w:space="0" w:color="auto"/>
              <w:right w:val="single" w:sz="8" w:space="0" w:color="auto"/>
            </w:tcBorders>
            <w:shd w:val="clear" w:color="auto" w:fill="auto"/>
            <w:vAlign w:val="center"/>
            <w:hideMark/>
          </w:tcPr>
          <w:p w14:paraId="1A94F0D2"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-10% to</w:t>
            </w:r>
            <w:r w:rsidRPr="001D2ADB">
              <w:rPr>
                <w:rFonts w:ascii="Arial" w:eastAsia="Times New Roman" w:hAnsi="Arial" w:cs="Arial"/>
                <w:color w:val="000000"/>
              </w:rPr>
              <w:br/>
              <w:t xml:space="preserve"> -15%</w:t>
            </w:r>
          </w:p>
        </w:tc>
        <w:tc>
          <w:tcPr>
            <w:tcW w:w="960" w:type="dxa"/>
            <w:tcBorders>
              <w:top w:val="nil"/>
              <w:left w:val="nil"/>
              <w:bottom w:val="single" w:sz="8" w:space="0" w:color="auto"/>
              <w:right w:val="single" w:sz="8" w:space="0" w:color="auto"/>
            </w:tcBorders>
            <w:shd w:val="clear" w:color="auto" w:fill="auto"/>
            <w:vAlign w:val="center"/>
            <w:hideMark/>
          </w:tcPr>
          <w:p w14:paraId="5EE76AAD"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+2% to +4%</w:t>
            </w:r>
          </w:p>
        </w:tc>
        <w:tc>
          <w:tcPr>
            <w:tcW w:w="960" w:type="dxa"/>
            <w:tcBorders>
              <w:top w:val="nil"/>
              <w:left w:val="nil"/>
              <w:bottom w:val="single" w:sz="8" w:space="0" w:color="auto"/>
              <w:right w:val="single" w:sz="8" w:space="0" w:color="auto"/>
            </w:tcBorders>
            <w:shd w:val="clear" w:color="auto" w:fill="auto"/>
            <w:vAlign w:val="center"/>
            <w:hideMark/>
          </w:tcPr>
          <w:p w14:paraId="6EF44623"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-7% to</w:t>
            </w:r>
            <w:r w:rsidRPr="001D2ADB">
              <w:rPr>
                <w:rFonts w:ascii="Arial" w:eastAsia="Times New Roman" w:hAnsi="Arial" w:cs="Arial"/>
                <w:color w:val="000000"/>
              </w:rPr>
              <w:br/>
              <w:t xml:space="preserve"> -11%</w:t>
            </w:r>
          </w:p>
        </w:tc>
        <w:tc>
          <w:tcPr>
            <w:tcW w:w="960" w:type="dxa"/>
            <w:tcBorders>
              <w:top w:val="nil"/>
              <w:left w:val="nil"/>
              <w:bottom w:val="single" w:sz="8" w:space="0" w:color="auto"/>
              <w:right w:val="single" w:sz="8" w:space="0" w:color="auto"/>
            </w:tcBorders>
            <w:shd w:val="clear" w:color="auto" w:fill="auto"/>
            <w:vAlign w:val="center"/>
            <w:hideMark/>
          </w:tcPr>
          <w:p w14:paraId="2C339E02"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+6% to +9%</w:t>
            </w:r>
          </w:p>
        </w:tc>
      </w:tr>
      <w:tr w:rsidR="0070611D" w:rsidRPr="001D2ADB" w14:paraId="06CEA906" w14:textId="77777777" w:rsidTr="005F69B3">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A98026" w14:textId="5CD08AE3"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lastRenderedPageBreak/>
              <w:t>Tonstad, et al</w:t>
            </w:r>
            <w:r w:rsidR="00F0157D" w:rsidRPr="001D2ADB">
              <w:rPr>
                <w:rFonts w:ascii="Arial" w:eastAsia="Times New Roman" w:hAnsi="Arial" w:cs="Arial"/>
                <w:color w:val="000000"/>
              </w:rPr>
              <w:t xml:space="preserve"> (49</w:t>
            </w:r>
            <w:r w:rsidR="002A4FEE" w:rsidRPr="001D2ADB">
              <w:rPr>
                <w:rFonts w:ascii="Arial" w:eastAsia="Times New Roman" w:hAnsi="Arial" w:cs="Arial"/>
                <w:color w:val="000000"/>
              </w:rPr>
              <w:t>)</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0BA5DBD8"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Cholestyramine</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14:paraId="74EF9D1F"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8 g/day</w:t>
            </w:r>
          </w:p>
        </w:tc>
        <w:tc>
          <w:tcPr>
            <w:tcW w:w="960" w:type="dxa"/>
            <w:tcBorders>
              <w:top w:val="nil"/>
              <w:left w:val="nil"/>
              <w:bottom w:val="single" w:sz="8" w:space="0" w:color="auto"/>
              <w:right w:val="single" w:sz="8" w:space="0" w:color="auto"/>
            </w:tcBorders>
            <w:shd w:val="clear" w:color="auto" w:fill="auto"/>
            <w:vAlign w:val="center"/>
            <w:hideMark/>
          </w:tcPr>
          <w:p w14:paraId="276B9C2F"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-17%</w:t>
            </w:r>
          </w:p>
        </w:tc>
        <w:tc>
          <w:tcPr>
            <w:tcW w:w="960" w:type="dxa"/>
            <w:tcBorders>
              <w:top w:val="nil"/>
              <w:left w:val="nil"/>
              <w:bottom w:val="single" w:sz="8" w:space="0" w:color="auto"/>
              <w:right w:val="single" w:sz="8" w:space="0" w:color="auto"/>
            </w:tcBorders>
            <w:shd w:val="clear" w:color="auto" w:fill="auto"/>
            <w:vAlign w:val="center"/>
            <w:hideMark/>
          </w:tcPr>
          <w:p w14:paraId="66537C88"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+8%</w:t>
            </w:r>
          </w:p>
        </w:tc>
        <w:tc>
          <w:tcPr>
            <w:tcW w:w="960" w:type="dxa"/>
            <w:tcBorders>
              <w:top w:val="nil"/>
              <w:left w:val="nil"/>
              <w:bottom w:val="single" w:sz="8" w:space="0" w:color="auto"/>
              <w:right w:val="single" w:sz="8" w:space="0" w:color="auto"/>
            </w:tcBorders>
            <w:shd w:val="clear" w:color="auto" w:fill="auto"/>
            <w:vAlign w:val="center"/>
            <w:hideMark/>
          </w:tcPr>
          <w:p w14:paraId="2BDD55DC"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-12%</w:t>
            </w:r>
          </w:p>
        </w:tc>
        <w:tc>
          <w:tcPr>
            <w:tcW w:w="960" w:type="dxa"/>
            <w:tcBorders>
              <w:top w:val="nil"/>
              <w:left w:val="nil"/>
              <w:bottom w:val="single" w:sz="8" w:space="0" w:color="auto"/>
              <w:right w:val="single" w:sz="8" w:space="0" w:color="auto"/>
            </w:tcBorders>
            <w:shd w:val="clear" w:color="auto" w:fill="auto"/>
            <w:vAlign w:val="center"/>
            <w:hideMark/>
          </w:tcPr>
          <w:p w14:paraId="65339457" w14:textId="77777777" w:rsidR="0070611D" w:rsidRPr="001D2ADB" w:rsidRDefault="0070611D" w:rsidP="001D2ADB">
            <w:pPr>
              <w:spacing w:after="0"/>
              <w:rPr>
                <w:rFonts w:ascii="Arial" w:eastAsia="Times New Roman" w:hAnsi="Arial" w:cs="Arial"/>
                <w:color w:val="000000"/>
              </w:rPr>
            </w:pPr>
            <w:r w:rsidRPr="001D2ADB">
              <w:rPr>
                <w:rFonts w:ascii="Arial" w:eastAsia="Times New Roman" w:hAnsi="Arial" w:cs="Arial"/>
                <w:color w:val="000000"/>
              </w:rPr>
              <w:t>N/A</w:t>
            </w:r>
          </w:p>
        </w:tc>
      </w:tr>
    </w:tbl>
    <w:p w14:paraId="4136EF5F" w14:textId="292E1564" w:rsidR="0070611D" w:rsidRPr="001D2ADB" w:rsidRDefault="0070611D" w:rsidP="001D2ADB">
      <w:pPr>
        <w:autoSpaceDE w:val="0"/>
        <w:autoSpaceDN w:val="0"/>
        <w:adjustRightInd w:val="0"/>
        <w:spacing w:after="0"/>
        <w:rPr>
          <w:rFonts w:ascii="Arial" w:hAnsi="Arial" w:cs="Arial"/>
        </w:rPr>
      </w:pPr>
      <w:r w:rsidRPr="001D2ADB">
        <w:rPr>
          <w:rFonts w:ascii="Arial" w:hAnsi="Arial" w:cs="Arial"/>
        </w:rPr>
        <w:t xml:space="preserve">Adapted from National Heart Lung and Blood Institute (NHLBI): Expert Panel on Integrated Guidelines for Cardiovascular Health and Risk Reduction in Children and Adolescents: Summary Report.  </w:t>
      </w:r>
      <w:r w:rsidRPr="001D2ADB">
        <w:rPr>
          <w:rFonts w:ascii="Arial" w:hAnsi="Arial" w:cs="Arial"/>
          <w:i/>
        </w:rPr>
        <w:t>Pediatrics</w:t>
      </w:r>
      <w:r w:rsidRPr="001D2ADB">
        <w:rPr>
          <w:rFonts w:ascii="Arial" w:hAnsi="Arial" w:cs="Arial"/>
        </w:rPr>
        <w:t>.  2011;128(S5</w:t>
      </w:r>
      <w:proofErr w:type="gramStart"/>
      <w:r w:rsidRPr="001D2ADB">
        <w:rPr>
          <w:rFonts w:ascii="Arial" w:hAnsi="Arial" w:cs="Arial"/>
        </w:rPr>
        <w:t>):S</w:t>
      </w:r>
      <w:proofErr w:type="gramEnd"/>
      <w:r w:rsidRPr="001D2ADB">
        <w:rPr>
          <w:rFonts w:ascii="Arial" w:hAnsi="Arial" w:cs="Arial"/>
        </w:rPr>
        <w:t>213-S256: Table 9-11.</w:t>
      </w:r>
      <w:r w:rsidRPr="001D2ADB">
        <w:rPr>
          <w:rFonts w:ascii="Arial" w:hAnsi="Arial" w:cs="Arial"/>
        </w:rPr>
        <w:br/>
        <w:t>Abbreviations: g=grams, LDL-C=low density lipoprotein cholesterol, HDL-C=high density lipoprotein cholesterol, TC=total cholesterol, TG=triglycerides</w:t>
      </w:r>
      <w:r w:rsidR="00C2798A">
        <w:rPr>
          <w:rFonts w:ascii="Arial" w:hAnsi="Arial" w:cs="Arial"/>
        </w:rPr>
        <w:t>.</w:t>
      </w:r>
    </w:p>
    <w:p w14:paraId="7D8CE8D2" w14:textId="77777777" w:rsidR="0070611D" w:rsidRPr="001D2ADB" w:rsidRDefault="0070611D" w:rsidP="001D2ADB">
      <w:pPr>
        <w:autoSpaceDE w:val="0"/>
        <w:autoSpaceDN w:val="0"/>
        <w:adjustRightInd w:val="0"/>
        <w:spacing w:after="0"/>
        <w:rPr>
          <w:rFonts w:ascii="Arial" w:hAnsi="Arial" w:cs="Arial"/>
          <w:vertAlign w:val="superscript"/>
        </w:rPr>
      </w:pPr>
    </w:p>
    <w:p w14:paraId="0806F2ED" w14:textId="078BAC52" w:rsidR="00375B2B" w:rsidRPr="001D2ADB" w:rsidRDefault="0070611D" w:rsidP="001D2ADB">
      <w:pPr>
        <w:autoSpaceDE w:val="0"/>
        <w:autoSpaceDN w:val="0"/>
        <w:adjustRightInd w:val="0"/>
        <w:spacing w:after="0"/>
        <w:rPr>
          <w:rFonts w:ascii="Arial" w:hAnsi="Arial" w:cs="Arial"/>
        </w:rPr>
      </w:pPr>
      <w:r w:rsidRPr="001D2ADB">
        <w:rPr>
          <w:rFonts w:ascii="Arial" w:hAnsi="Arial" w:cs="Arial"/>
        </w:rPr>
        <w:t>S</w:t>
      </w:r>
      <w:r w:rsidR="00375B2B" w:rsidRPr="001D2ADB">
        <w:rPr>
          <w:rFonts w:ascii="Arial" w:hAnsi="Arial" w:cs="Arial"/>
        </w:rPr>
        <w:t xml:space="preserve">tein and colleagues </w:t>
      </w:r>
      <w:r w:rsidR="008C56AB" w:rsidRPr="001D2ADB">
        <w:rPr>
          <w:rFonts w:ascii="Arial" w:hAnsi="Arial" w:cs="Arial"/>
        </w:rPr>
        <w:t>assessed the</w:t>
      </w:r>
      <w:r w:rsidR="00686DDD" w:rsidRPr="001D2ADB">
        <w:rPr>
          <w:rFonts w:ascii="Arial" w:hAnsi="Arial" w:cs="Arial"/>
        </w:rPr>
        <w:t xml:space="preserve"> s</w:t>
      </w:r>
      <w:r w:rsidR="00375B2B" w:rsidRPr="001D2ADB">
        <w:rPr>
          <w:rFonts w:ascii="Arial" w:hAnsi="Arial" w:cs="Arial"/>
        </w:rPr>
        <w:t xml:space="preserve">afety </w:t>
      </w:r>
      <w:r w:rsidR="00686DDD" w:rsidRPr="001D2ADB">
        <w:rPr>
          <w:rFonts w:ascii="Arial" w:hAnsi="Arial" w:cs="Arial"/>
        </w:rPr>
        <w:t xml:space="preserve">of colesevelam </w:t>
      </w:r>
      <w:r w:rsidR="00A9166A" w:rsidRPr="001D2ADB">
        <w:rPr>
          <w:rFonts w:ascii="Arial" w:hAnsi="Arial" w:cs="Arial"/>
        </w:rPr>
        <w:t xml:space="preserve">at weeks 8-26 </w:t>
      </w:r>
      <w:r w:rsidR="00375B2B" w:rsidRPr="001D2ADB">
        <w:rPr>
          <w:rFonts w:ascii="Arial" w:hAnsi="Arial" w:cs="Arial"/>
        </w:rPr>
        <w:t>during a</w:t>
      </w:r>
      <w:r w:rsidR="00686DDD" w:rsidRPr="001D2ADB">
        <w:rPr>
          <w:rFonts w:ascii="Arial" w:hAnsi="Arial" w:cs="Arial"/>
        </w:rPr>
        <w:t>n</w:t>
      </w:r>
      <w:r w:rsidR="00375B2B" w:rsidRPr="001D2ADB">
        <w:rPr>
          <w:rFonts w:ascii="Arial" w:hAnsi="Arial" w:cs="Arial"/>
        </w:rPr>
        <w:t xml:space="preserve"> open-label </w:t>
      </w:r>
      <w:r w:rsidR="00A9166A" w:rsidRPr="001D2ADB">
        <w:rPr>
          <w:rFonts w:ascii="Arial" w:hAnsi="Arial" w:cs="Arial"/>
        </w:rPr>
        <w:t>s</w:t>
      </w:r>
      <w:r w:rsidR="0007310D" w:rsidRPr="001D2ADB">
        <w:rPr>
          <w:rFonts w:ascii="Arial" w:hAnsi="Arial" w:cs="Arial"/>
        </w:rPr>
        <w:t>tud</w:t>
      </w:r>
      <w:r w:rsidR="00686DDD" w:rsidRPr="001D2ADB">
        <w:rPr>
          <w:rFonts w:ascii="Arial" w:hAnsi="Arial" w:cs="Arial"/>
        </w:rPr>
        <w:t>y</w:t>
      </w:r>
      <w:r w:rsidR="00375B2B" w:rsidRPr="001D2ADB">
        <w:rPr>
          <w:rFonts w:ascii="Arial" w:hAnsi="Arial" w:cs="Arial"/>
        </w:rPr>
        <w:t xml:space="preserve"> </w:t>
      </w:r>
      <w:r w:rsidR="008C56AB" w:rsidRPr="001D2ADB">
        <w:rPr>
          <w:rFonts w:ascii="Arial" w:hAnsi="Arial" w:cs="Arial"/>
        </w:rPr>
        <w:t>from.</w:t>
      </w:r>
      <w:r w:rsidR="00A9166A" w:rsidRPr="001D2ADB">
        <w:rPr>
          <w:rFonts w:ascii="Arial" w:hAnsi="Arial" w:cs="Arial"/>
        </w:rPr>
        <w:t xml:space="preserve">  A</w:t>
      </w:r>
      <w:r w:rsidR="00375B2B" w:rsidRPr="001D2ADB">
        <w:rPr>
          <w:rFonts w:ascii="Arial" w:hAnsi="Arial" w:cs="Arial"/>
        </w:rPr>
        <w:t>ll subjects received colesevelam 3.75 grams per day in addition to</w:t>
      </w:r>
      <w:r w:rsidR="00A9166A" w:rsidRPr="001D2ADB">
        <w:rPr>
          <w:rFonts w:ascii="Arial" w:hAnsi="Arial" w:cs="Arial"/>
        </w:rPr>
        <w:t xml:space="preserve"> a</w:t>
      </w:r>
      <w:r w:rsidR="00375B2B" w:rsidRPr="001D2ADB">
        <w:rPr>
          <w:rFonts w:ascii="Arial" w:hAnsi="Arial" w:cs="Arial"/>
        </w:rPr>
        <w:t xml:space="preserve"> statin</w:t>
      </w:r>
      <w:r w:rsidR="00F0157D" w:rsidRPr="001D2ADB">
        <w:rPr>
          <w:rFonts w:ascii="Arial" w:hAnsi="Arial" w:cs="Arial"/>
        </w:rPr>
        <w:t xml:space="preserve"> (40</w:t>
      </w:r>
      <w:r w:rsidR="002A4FEE" w:rsidRPr="001D2ADB">
        <w:rPr>
          <w:rFonts w:ascii="Arial" w:hAnsi="Arial" w:cs="Arial"/>
        </w:rPr>
        <w:t>)</w:t>
      </w:r>
      <w:r w:rsidR="00375B2B" w:rsidRPr="001D2ADB">
        <w:rPr>
          <w:rFonts w:ascii="Arial" w:hAnsi="Arial" w:cs="Arial"/>
        </w:rPr>
        <w:t>.</w:t>
      </w:r>
      <w:r w:rsidR="006A6C95" w:rsidRPr="001D2ADB">
        <w:rPr>
          <w:rFonts w:ascii="Arial" w:hAnsi="Arial" w:cs="Arial"/>
        </w:rPr>
        <w:t xml:space="preserve"> Safety</w:t>
      </w:r>
      <w:r w:rsidR="00375B2B" w:rsidRPr="001D2ADB">
        <w:rPr>
          <w:rFonts w:ascii="Arial" w:hAnsi="Arial" w:cs="Arial"/>
        </w:rPr>
        <w:t xml:space="preserve"> was measured via adverse events, vital signs and physical exam, laboratory monitoring, and Tanner staging.  The most common adverse events related to </w:t>
      </w:r>
      <w:r w:rsidR="00A9166A" w:rsidRPr="001D2ADB">
        <w:rPr>
          <w:rFonts w:ascii="Arial" w:hAnsi="Arial" w:cs="Arial"/>
        </w:rPr>
        <w:t xml:space="preserve">use of </w:t>
      </w:r>
      <w:r w:rsidR="00375B2B" w:rsidRPr="001D2ADB">
        <w:rPr>
          <w:rFonts w:ascii="Arial" w:hAnsi="Arial" w:cs="Arial"/>
        </w:rPr>
        <w:t xml:space="preserve">colesevelam </w:t>
      </w:r>
      <w:r w:rsidR="003735B8" w:rsidRPr="001D2ADB">
        <w:rPr>
          <w:rFonts w:ascii="Arial" w:hAnsi="Arial" w:cs="Arial"/>
        </w:rPr>
        <w:t xml:space="preserve">were gastrointestinal, </w:t>
      </w:r>
      <w:r w:rsidR="00375B2B" w:rsidRPr="001D2ADB">
        <w:rPr>
          <w:rFonts w:ascii="Arial" w:hAnsi="Arial" w:cs="Arial"/>
        </w:rPr>
        <w:t>includ</w:t>
      </w:r>
      <w:r w:rsidR="003735B8" w:rsidRPr="001D2ADB">
        <w:rPr>
          <w:rFonts w:ascii="Arial" w:hAnsi="Arial" w:cs="Arial"/>
        </w:rPr>
        <w:t>ing</w:t>
      </w:r>
      <w:r w:rsidR="00375B2B" w:rsidRPr="001D2ADB">
        <w:rPr>
          <w:rFonts w:ascii="Arial" w:hAnsi="Arial" w:cs="Arial"/>
        </w:rPr>
        <w:t xml:space="preserve"> diarrhea, nausea, vomiting, and abdominal pain. It is important to note that no choking or difficulty swallowing w</w:t>
      </w:r>
      <w:r w:rsidR="00A9166A" w:rsidRPr="001D2ADB">
        <w:rPr>
          <w:rFonts w:ascii="Arial" w:hAnsi="Arial" w:cs="Arial"/>
        </w:rPr>
        <w:t>ere</w:t>
      </w:r>
      <w:r w:rsidR="00375B2B" w:rsidRPr="001D2ADB">
        <w:rPr>
          <w:rFonts w:ascii="Arial" w:hAnsi="Arial" w:cs="Arial"/>
        </w:rPr>
        <w:t xml:space="preserve"> reported with the use of colesevelam. Vital signs, physical exams, laboratory monitoring, and Tanner staging remained the same or progressed as expected throughout the study period.  </w:t>
      </w:r>
    </w:p>
    <w:p w14:paraId="559B51D8" w14:textId="77777777" w:rsidR="00474DCD" w:rsidRPr="001D2ADB" w:rsidRDefault="00474DCD" w:rsidP="001D2ADB">
      <w:pPr>
        <w:autoSpaceDE w:val="0"/>
        <w:autoSpaceDN w:val="0"/>
        <w:adjustRightInd w:val="0"/>
        <w:spacing w:after="0"/>
        <w:rPr>
          <w:rFonts w:ascii="Arial" w:hAnsi="Arial" w:cs="Arial"/>
        </w:rPr>
      </w:pPr>
    </w:p>
    <w:p w14:paraId="0DA22A58" w14:textId="34805F1D" w:rsidR="0007310D" w:rsidRPr="001D2ADB" w:rsidRDefault="00375B2B" w:rsidP="001D2ADB">
      <w:pPr>
        <w:autoSpaceDE w:val="0"/>
        <w:autoSpaceDN w:val="0"/>
        <w:adjustRightInd w:val="0"/>
        <w:spacing w:after="0"/>
        <w:rPr>
          <w:rFonts w:ascii="Arial" w:hAnsi="Arial" w:cs="Arial"/>
        </w:rPr>
      </w:pPr>
      <w:r w:rsidRPr="001D2ADB">
        <w:rPr>
          <w:rFonts w:ascii="Arial" w:hAnsi="Arial" w:cs="Arial"/>
        </w:rPr>
        <w:t>McCrindle and colleagues evaluated conventional high-dose colestipol versus a combination of low-dose colestipol plus pravastatin</w:t>
      </w:r>
      <w:r w:rsidR="0007310D" w:rsidRPr="001D2ADB">
        <w:rPr>
          <w:rFonts w:ascii="Arial" w:hAnsi="Arial" w:cs="Arial"/>
        </w:rPr>
        <w:t xml:space="preserve">, but </w:t>
      </w:r>
      <w:r w:rsidR="00723F75" w:rsidRPr="001D2ADB">
        <w:rPr>
          <w:rFonts w:ascii="Arial" w:hAnsi="Arial" w:cs="Arial"/>
        </w:rPr>
        <w:t xml:space="preserve">did not cite </w:t>
      </w:r>
      <w:r w:rsidRPr="001D2ADB">
        <w:rPr>
          <w:rFonts w:ascii="Arial" w:hAnsi="Arial" w:cs="Arial"/>
        </w:rPr>
        <w:t>safety as an endpoint for th</w:t>
      </w:r>
      <w:r w:rsidR="0007310D" w:rsidRPr="001D2ADB">
        <w:rPr>
          <w:rFonts w:ascii="Arial" w:hAnsi="Arial" w:cs="Arial"/>
        </w:rPr>
        <w:t>e</w:t>
      </w:r>
      <w:r w:rsidR="00A9166A" w:rsidRPr="001D2ADB">
        <w:rPr>
          <w:rFonts w:ascii="Arial" w:hAnsi="Arial" w:cs="Arial"/>
        </w:rPr>
        <w:t>ir</w:t>
      </w:r>
      <w:r w:rsidRPr="001D2ADB">
        <w:rPr>
          <w:rFonts w:ascii="Arial" w:hAnsi="Arial" w:cs="Arial"/>
        </w:rPr>
        <w:t xml:space="preserve"> study</w:t>
      </w:r>
      <w:r w:rsidR="002A4FEE" w:rsidRPr="001D2ADB">
        <w:rPr>
          <w:rFonts w:ascii="Arial" w:hAnsi="Arial" w:cs="Arial"/>
        </w:rPr>
        <w:t xml:space="preserve"> (</w:t>
      </w:r>
      <w:r w:rsidR="00F0157D" w:rsidRPr="001D2ADB">
        <w:rPr>
          <w:rFonts w:ascii="Arial" w:hAnsi="Arial" w:cs="Arial"/>
        </w:rPr>
        <w:t>40</w:t>
      </w:r>
      <w:r w:rsidR="002A4FEE" w:rsidRPr="001D2ADB">
        <w:rPr>
          <w:rFonts w:ascii="Arial" w:hAnsi="Arial" w:cs="Arial"/>
        </w:rPr>
        <w:t>)</w:t>
      </w:r>
      <w:r w:rsidR="00723F75" w:rsidRPr="001D2ADB">
        <w:rPr>
          <w:rFonts w:ascii="Arial" w:hAnsi="Arial" w:cs="Arial"/>
        </w:rPr>
        <w:t>.</w:t>
      </w:r>
      <w:r w:rsidR="006A6C95" w:rsidRPr="001D2ADB">
        <w:rPr>
          <w:rFonts w:ascii="Arial" w:hAnsi="Arial" w:cs="Arial"/>
        </w:rPr>
        <w:t xml:space="preserve"> The</w:t>
      </w:r>
      <w:r w:rsidRPr="001D2ADB">
        <w:rPr>
          <w:rFonts w:ascii="Arial" w:hAnsi="Arial" w:cs="Arial"/>
        </w:rPr>
        <w:t xml:space="preserve"> researchers did conduct safety monitoring in the form of laboratory tests, physical evaluation, and adverse event reporting. Significant deviations from baseline were noted for alkaline phosphatase, alanine aminotransferase, and aspartate aminotransferase at various time intervals with different medication regimens; however, the authors noted that when compared to</w:t>
      </w:r>
      <w:r w:rsidR="00F17C83" w:rsidRPr="001D2ADB">
        <w:rPr>
          <w:rFonts w:ascii="Arial" w:hAnsi="Arial" w:cs="Arial"/>
        </w:rPr>
        <w:t xml:space="preserve"> </w:t>
      </w:r>
      <w:r w:rsidR="008C56AB" w:rsidRPr="001D2ADB">
        <w:rPr>
          <w:rFonts w:ascii="Arial" w:hAnsi="Arial" w:cs="Arial"/>
        </w:rPr>
        <w:t>reference values</w:t>
      </w:r>
      <w:r w:rsidRPr="001D2ADB">
        <w:rPr>
          <w:rFonts w:ascii="Arial" w:hAnsi="Arial" w:cs="Arial"/>
        </w:rPr>
        <w:t xml:space="preserve">, none of the </w:t>
      </w:r>
      <w:r w:rsidR="00A9166A" w:rsidRPr="001D2ADB">
        <w:rPr>
          <w:rFonts w:ascii="Arial" w:hAnsi="Arial" w:cs="Arial"/>
        </w:rPr>
        <w:t>laboratory results</w:t>
      </w:r>
      <w:r w:rsidRPr="001D2ADB">
        <w:rPr>
          <w:rFonts w:ascii="Arial" w:hAnsi="Arial" w:cs="Arial"/>
        </w:rPr>
        <w:t xml:space="preserve"> were </w:t>
      </w:r>
      <w:r w:rsidR="00A9166A" w:rsidRPr="001D2ADB">
        <w:rPr>
          <w:rFonts w:ascii="Arial" w:hAnsi="Arial" w:cs="Arial"/>
        </w:rPr>
        <w:t xml:space="preserve">considered </w:t>
      </w:r>
      <w:r w:rsidRPr="001D2ADB">
        <w:rPr>
          <w:rFonts w:ascii="Arial" w:hAnsi="Arial" w:cs="Arial"/>
        </w:rPr>
        <w:t>abnormal</w:t>
      </w:r>
      <w:r w:rsidR="00A9166A" w:rsidRPr="001D2ADB">
        <w:rPr>
          <w:rFonts w:ascii="Arial" w:hAnsi="Arial" w:cs="Arial"/>
        </w:rPr>
        <w:t>. S</w:t>
      </w:r>
      <w:r w:rsidR="00B3354E" w:rsidRPr="001D2ADB">
        <w:rPr>
          <w:rFonts w:ascii="Arial" w:hAnsi="Arial" w:cs="Arial"/>
        </w:rPr>
        <w:t>tudy participants in the</w:t>
      </w:r>
      <w:r w:rsidRPr="001D2ADB">
        <w:rPr>
          <w:rFonts w:ascii="Arial" w:hAnsi="Arial" w:cs="Arial"/>
        </w:rPr>
        <w:t xml:space="preserve"> two medication regimens did not significantly </w:t>
      </w:r>
      <w:r w:rsidR="00A9166A" w:rsidRPr="001D2ADB">
        <w:rPr>
          <w:rFonts w:ascii="Arial" w:hAnsi="Arial" w:cs="Arial"/>
        </w:rPr>
        <w:t xml:space="preserve">vary </w:t>
      </w:r>
      <w:r w:rsidRPr="001D2ADB">
        <w:rPr>
          <w:rFonts w:ascii="Arial" w:hAnsi="Arial" w:cs="Arial"/>
        </w:rPr>
        <w:t xml:space="preserve">in weight gain, height changes, or body mass index. While the majority of patients </w:t>
      </w:r>
      <w:r w:rsidR="00A9166A" w:rsidRPr="001D2ADB">
        <w:rPr>
          <w:rFonts w:ascii="Arial" w:hAnsi="Arial" w:cs="Arial"/>
        </w:rPr>
        <w:t>experienced</w:t>
      </w:r>
      <w:r w:rsidRPr="001D2ADB">
        <w:rPr>
          <w:rFonts w:ascii="Arial" w:hAnsi="Arial" w:cs="Arial"/>
        </w:rPr>
        <w:t xml:space="preserve"> no adverse events, gastrointestinal symptoms such as constipation, gas or bloating, or stomach ache were more commonly reported by the patients taking the high</w:t>
      </w:r>
      <w:r w:rsidR="00A9166A" w:rsidRPr="001D2ADB">
        <w:rPr>
          <w:rFonts w:ascii="Arial" w:hAnsi="Arial" w:cs="Arial"/>
        </w:rPr>
        <w:t>-dose colestipol. T</w:t>
      </w:r>
      <w:r w:rsidRPr="001D2ADB">
        <w:rPr>
          <w:rFonts w:ascii="Arial" w:hAnsi="Arial" w:cs="Arial"/>
        </w:rPr>
        <w:t>he authors found similar suboptimal compliance with both regimens</w:t>
      </w:r>
      <w:r w:rsidR="00723F75" w:rsidRPr="001D2ADB">
        <w:rPr>
          <w:rFonts w:ascii="Arial" w:hAnsi="Arial" w:cs="Arial"/>
        </w:rPr>
        <w:t xml:space="preserve"> as determined by medication counts at the end of each study period. </w:t>
      </w:r>
      <w:r w:rsidRPr="001D2ADB">
        <w:rPr>
          <w:rFonts w:ascii="Arial" w:hAnsi="Arial" w:cs="Arial"/>
        </w:rPr>
        <w:t xml:space="preserve">Tonstad and colleagues </w:t>
      </w:r>
      <w:r w:rsidR="00A9166A" w:rsidRPr="001D2ADB">
        <w:rPr>
          <w:rFonts w:ascii="Arial" w:hAnsi="Arial" w:cs="Arial"/>
        </w:rPr>
        <w:t xml:space="preserve">also </w:t>
      </w:r>
      <w:r w:rsidRPr="001D2ADB">
        <w:rPr>
          <w:rFonts w:ascii="Arial" w:hAnsi="Arial" w:cs="Arial"/>
        </w:rPr>
        <w:t xml:space="preserve">assessed the tolerability of colestipol granules by monitoring side effects as well as by having </w:t>
      </w:r>
      <w:r w:rsidR="006A6C95" w:rsidRPr="001D2ADB">
        <w:rPr>
          <w:rFonts w:ascii="Arial" w:hAnsi="Arial" w:cs="Arial"/>
        </w:rPr>
        <w:t>subjects’</w:t>
      </w:r>
      <w:r w:rsidRPr="001D2ADB">
        <w:rPr>
          <w:rFonts w:ascii="Arial" w:hAnsi="Arial" w:cs="Arial"/>
        </w:rPr>
        <w:t xml:space="preserve"> complete subje</w:t>
      </w:r>
      <w:r w:rsidR="00A9166A" w:rsidRPr="001D2ADB">
        <w:rPr>
          <w:rFonts w:ascii="Arial" w:hAnsi="Arial" w:cs="Arial"/>
        </w:rPr>
        <w:t>ctive evaluations</w:t>
      </w:r>
      <w:r w:rsidR="00F0157D" w:rsidRPr="001D2ADB">
        <w:rPr>
          <w:rFonts w:ascii="Arial" w:hAnsi="Arial" w:cs="Arial"/>
        </w:rPr>
        <w:t xml:space="preserve"> (44</w:t>
      </w:r>
      <w:r w:rsidR="002A4FEE" w:rsidRPr="001D2ADB">
        <w:rPr>
          <w:rFonts w:ascii="Arial" w:hAnsi="Arial" w:cs="Arial"/>
        </w:rPr>
        <w:t>)</w:t>
      </w:r>
      <w:r w:rsidRPr="001D2ADB">
        <w:rPr>
          <w:rFonts w:ascii="Arial" w:hAnsi="Arial" w:cs="Arial"/>
        </w:rPr>
        <w:t>.</w:t>
      </w:r>
      <w:r w:rsidR="002A4FEE" w:rsidRPr="001D2ADB">
        <w:rPr>
          <w:rFonts w:ascii="Arial" w:hAnsi="Arial" w:cs="Arial"/>
        </w:rPr>
        <w:t xml:space="preserve"> </w:t>
      </w:r>
      <w:r w:rsidR="006A6C95" w:rsidRPr="001D2ADB">
        <w:rPr>
          <w:rFonts w:ascii="Arial" w:hAnsi="Arial" w:cs="Arial"/>
        </w:rPr>
        <w:t>Side</w:t>
      </w:r>
      <w:r w:rsidRPr="001D2ADB">
        <w:rPr>
          <w:rFonts w:ascii="Arial" w:hAnsi="Arial" w:cs="Arial"/>
        </w:rPr>
        <w:t xml:space="preserve"> effects associated with colestipol included constipation, dyspepsia, flatulence, nausea, reduction in appetite, and abdominal pain. The subjective evaluations indicated that only 21% of patients like</w:t>
      </w:r>
      <w:r w:rsidR="00F17C83" w:rsidRPr="001D2ADB">
        <w:rPr>
          <w:rFonts w:ascii="Arial" w:hAnsi="Arial" w:cs="Arial"/>
        </w:rPr>
        <w:t>d</w:t>
      </w:r>
      <w:r w:rsidRPr="001D2ADB">
        <w:rPr>
          <w:rFonts w:ascii="Arial" w:hAnsi="Arial" w:cs="Arial"/>
        </w:rPr>
        <w:t xml:space="preserve"> the taste of the colestipol; however, of those who had previously taken bile acid binding resin</w:t>
      </w:r>
      <w:r w:rsidR="00A9166A" w:rsidRPr="001D2ADB">
        <w:rPr>
          <w:rFonts w:ascii="Arial" w:hAnsi="Arial" w:cs="Arial"/>
        </w:rPr>
        <w:t>,</w:t>
      </w:r>
      <w:r w:rsidRPr="001D2ADB">
        <w:rPr>
          <w:rFonts w:ascii="Arial" w:hAnsi="Arial" w:cs="Arial"/>
        </w:rPr>
        <w:t xml:space="preserve"> 86% preferred the taste of the newer orange flavored granules. </w:t>
      </w:r>
      <w:r w:rsidR="002E08BB" w:rsidRPr="001D2ADB">
        <w:rPr>
          <w:rFonts w:ascii="Arial" w:hAnsi="Arial" w:cs="Arial"/>
        </w:rPr>
        <w:t>Thirty seven percent</w:t>
      </w:r>
      <w:r w:rsidRPr="001D2ADB">
        <w:rPr>
          <w:rFonts w:ascii="Arial" w:hAnsi="Arial" w:cs="Arial"/>
        </w:rPr>
        <w:t xml:space="preserve"> of subjects also reported that they frequently forgot to take the medication, while 44% intentionally eliminated the medication from their routine on special occasions or during trips.  </w:t>
      </w:r>
    </w:p>
    <w:p w14:paraId="005C4779" w14:textId="77777777" w:rsidR="00474DCD" w:rsidRPr="001D2ADB" w:rsidRDefault="00474DCD" w:rsidP="001D2ADB">
      <w:pPr>
        <w:autoSpaceDE w:val="0"/>
        <w:autoSpaceDN w:val="0"/>
        <w:adjustRightInd w:val="0"/>
        <w:spacing w:after="0"/>
        <w:rPr>
          <w:rFonts w:ascii="Arial" w:hAnsi="Arial" w:cs="Arial"/>
        </w:rPr>
      </w:pPr>
    </w:p>
    <w:p w14:paraId="213F26F2" w14:textId="3CDDD6B2" w:rsidR="0007310D" w:rsidRPr="001D2ADB" w:rsidRDefault="009E6563" w:rsidP="001D2ADB">
      <w:pPr>
        <w:autoSpaceDE w:val="0"/>
        <w:autoSpaceDN w:val="0"/>
        <w:adjustRightInd w:val="0"/>
        <w:spacing w:after="0"/>
        <w:rPr>
          <w:rFonts w:ascii="Arial" w:hAnsi="Arial" w:cs="Arial"/>
        </w:rPr>
      </w:pPr>
      <w:r w:rsidRPr="001D2ADB">
        <w:rPr>
          <w:rFonts w:ascii="Arial" w:hAnsi="Arial" w:cs="Arial"/>
        </w:rPr>
        <w:t xml:space="preserve">The </w:t>
      </w:r>
      <w:r w:rsidR="00834CC4" w:rsidRPr="001D2ADB">
        <w:rPr>
          <w:rFonts w:ascii="Arial" w:hAnsi="Arial" w:cs="Arial"/>
        </w:rPr>
        <w:t xml:space="preserve">acceptability and compliance of </w:t>
      </w:r>
      <w:r w:rsidR="00A32A3E" w:rsidRPr="001D2ADB">
        <w:rPr>
          <w:rFonts w:ascii="Arial" w:hAnsi="Arial" w:cs="Arial"/>
        </w:rPr>
        <w:t>cholestyramine</w:t>
      </w:r>
      <w:r w:rsidR="00834CC4" w:rsidRPr="001D2ADB">
        <w:rPr>
          <w:rFonts w:ascii="Arial" w:hAnsi="Arial" w:cs="Arial"/>
        </w:rPr>
        <w:t xml:space="preserve"> </w:t>
      </w:r>
      <w:r w:rsidR="00F17C83" w:rsidRPr="001D2ADB">
        <w:rPr>
          <w:rFonts w:ascii="Arial" w:hAnsi="Arial" w:cs="Arial"/>
        </w:rPr>
        <w:t>has been</w:t>
      </w:r>
      <w:r w:rsidR="00C96180" w:rsidRPr="001D2ADB">
        <w:rPr>
          <w:rFonts w:ascii="Arial" w:hAnsi="Arial" w:cs="Arial"/>
        </w:rPr>
        <w:t xml:space="preserve"> studied</w:t>
      </w:r>
      <w:r w:rsidR="002A4FEE" w:rsidRPr="001D2ADB">
        <w:rPr>
          <w:rFonts w:ascii="Arial" w:hAnsi="Arial" w:cs="Arial"/>
        </w:rPr>
        <w:t xml:space="preserve"> (4</w:t>
      </w:r>
      <w:r w:rsidR="00F0157D" w:rsidRPr="001D2ADB">
        <w:rPr>
          <w:rFonts w:ascii="Arial" w:hAnsi="Arial" w:cs="Arial"/>
        </w:rPr>
        <w:t>8</w:t>
      </w:r>
      <w:r w:rsidR="002A4FEE" w:rsidRPr="001D2ADB">
        <w:rPr>
          <w:rFonts w:ascii="Arial" w:hAnsi="Arial" w:cs="Arial"/>
        </w:rPr>
        <w:t>)</w:t>
      </w:r>
      <w:r w:rsidR="00834CC4" w:rsidRPr="001D2ADB">
        <w:rPr>
          <w:rFonts w:ascii="Arial" w:hAnsi="Arial" w:cs="Arial"/>
        </w:rPr>
        <w:t>.</w:t>
      </w:r>
      <w:r w:rsidR="006A6C95" w:rsidRPr="001D2ADB">
        <w:rPr>
          <w:rFonts w:ascii="Arial" w:hAnsi="Arial" w:cs="Arial"/>
        </w:rPr>
        <w:t xml:space="preserve"> Eighty</w:t>
      </w:r>
      <w:r w:rsidR="00C96180" w:rsidRPr="001D2ADB">
        <w:rPr>
          <w:rFonts w:ascii="Arial" w:hAnsi="Arial" w:cs="Arial"/>
        </w:rPr>
        <w:t xml:space="preserve"> two percent (</w:t>
      </w:r>
      <w:r w:rsidR="00F17C83" w:rsidRPr="001D2ADB">
        <w:rPr>
          <w:rFonts w:ascii="Arial" w:hAnsi="Arial" w:cs="Arial"/>
        </w:rPr>
        <w:t xml:space="preserve">82%) </w:t>
      </w:r>
      <w:r w:rsidR="00375B2B" w:rsidRPr="001D2ADB">
        <w:rPr>
          <w:rFonts w:ascii="Arial" w:hAnsi="Arial" w:cs="Arial"/>
        </w:rPr>
        <w:t xml:space="preserve">of children preferred the pill formulation of cholestyramine </w:t>
      </w:r>
      <w:r w:rsidR="00C96180" w:rsidRPr="001D2ADB">
        <w:rPr>
          <w:rFonts w:ascii="Arial" w:hAnsi="Arial" w:cs="Arial"/>
        </w:rPr>
        <w:t xml:space="preserve">compared to </w:t>
      </w:r>
      <w:r w:rsidR="00375B2B" w:rsidRPr="001D2ADB">
        <w:rPr>
          <w:rFonts w:ascii="Arial" w:hAnsi="Arial" w:cs="Arial"/>
        </w:rPr>
        <w:t xml:space="preserve">16% who preferred the powder. Two percent of children in the study preferred neither form of the medication. Compliance was significantly impacted by medication formulation with patients taking the pill form </w:t>
      </w:r>
      <w:r w:rsidR="00C96180" w:rsidRPr="001D2ADB">
        <w:rPr>
          <w:rFonts w:ascii="Arial" w:hAnsi="Arial" w:cs="Arial"/>
        </w:rPr>
        <w:t>reporting</w:t>
      </w:r>
      <w:r w:rsidR="00375B2B" w:rsidRPr="001D2ADB">
        <w:rPr>
          <w:rFonts w:ascii="Arial" w:hAnsi="Arial" w:cs="Arial"/>
        </w:rPr>
        <w:t xml:space="preserve"> 61% complian</w:t>
      </w:r>
      <w:r w:rsidR="00C96180" w:rsidRPr="001D2ADB">
        <w:rPr>
          <w:rFonts w:ascii="Arial" w:hAnsi="Arial" w:cs="Arial"/>
        </w:rPr>
        <w:t>ce</w:t>
      </w:r>
      <w:r w:rsidR="00375B2B" w:rsidRPr="001D2ADB">
        <w:rPr>
          <w:rFonts w:ascii="Arial" w:hAnsi="Arial" w:cs="Arial"/>
        </w:rPr>
        <w:t xml:space="preserve"> while those on the powder formulation were onl</w:t>
      </w:r>
      <w:r w:rsidR="00C96180" w:rsidRPr="001D2ADB">
        <w:rPr>
          <w:rFonts w:ascii="Arial" w:hAnsi="Arial" w:cs="Arial"/>
        </w:rPr>
        <w:t xml:space="preserve">y 50% compliant. Compliance </w:t>
      </w:r>
      <w:r w:rsidR="00375B2B" w:rsidRPr="001D2ADB">
        <w:rPr>
          <w:rFonts w:ascii="Arial" w:hAnsi="Arial" w:cs="Arial"/>
        </w:rPr>
        <w:t xml:space="preserve">increased by at least 25% for 42% of patients when they switched </w:t>
      </w:r>
      <w:r w:rsidR="00375B2B" w:rsidRPr="001D2ADB">
        <w:rPr>
          <w:rFonts w:ascii="Arial" w:hAnsi="Arial" w:cs="Arial"/>
        </w:rPr>
        <w:lastRenderedPageBreak/>
        <w:t>to the pill formulation. Tonstad and colleagues assessed</w:t>
      </w:r>
      <w:r w:rsidRPr="001D2ADB">
        <w:rPr>
          <w:rFonts w:ascii="Arial" w:hAnsi="Arial" w:cs="Arial"/>
        </w:rPr>
        <w:t xml:space="preserve"> the safety of </w:t>
      </w:r>
      <w:r w:rsidR="00375B2B" w:rsidRPr="001D2ADB">
        <w:rPr>
          <w:rFonts w:ascii="Arial" w:hAnsi="Arial" w:cs="Arial"/>
        </w:rPr>
        <w:t xml:space="preserve">cholestyramine </w:t>
      </w:r>
      <w:r w:rsidR="00C96180" w:rsidRPr="001D2ADB">
        <w:rPr>
          <w:rFonts w:ascii="Arial" w:hAnsi="Arial" w:cs="Arial"/>
        </w:rPr>
        <w:t>by measuring</w:t>
      </w:r>
      <w:r w:rsidR="00375B2B" w:rsidRPr="001D2ADB">
        <w:rPr>
          <w:rFonts w:ascii="Arial" w:hAnsi="Arial" w:cs="Arial"/>
        </w:rPr>
        <w:t xml:space="preserve"> height velocity, erythrocyte folate, total plasma homocysteine, serum fat-soluble vitamins, and side effects</w:t>
      </w:r>
      <w:r w:rsidR="002A4FEE" w:rsidRPr="001D2ADB">
        <w:rPr>
          <w:rFonts w:ascii="Arial" w:hAnsi="Arial" w:cs="Arial"/>
        </w:rPr>
        <w:t xml:space="preserve"> (4</w:t>
      </w:r>
      <w:r w:rsidR="00F0157D" w:rsidRPr="001D2ADB">
        <w:rPr>
          <w:rFonts w:ascii="Arial" w:hAnsi="Arial" w:cs="Arial"/>
        </w:rPr>
        <w:t>9</w:t>
      </w:r>
      <w:r w:rsidR="002A4FEE" w:rsidRPr="001D2ADB">
        <w:rPr>
          <w:rFonts w:ascii="Arial" w:hAnsi="Arial" w:cs="Arial"/>
        </w:rPr>
        <w:t>)</w:t>
      </w:r>
      <w:r w:rsidR="00375B2B" w:rsidRPr="001D2ADB">
        <w:rPr>
          <w:rFonts w:ascii="Arial" w:hAnsi="Arial" w:cs="Arial"/>
        </w:rPr>
        <w:t>.</w:t>
      </w:r>
      <w:r w:rsidR="006A6C95" w:rsidRPr="001D2ADB">
        <w:rPr>
          <w:rFonts w:ascii="Arial" w:hAnsi="Arial" w:cs="Arial"/>
        </w:rPr>
        <w:t xml:space="preserve"> Weight</w:t>
      </w:r>
      <w:r w:rsidR="00375B2B" w:rsidRPr="001D2ADB">
        <w:rPr>
          <w:rFonts w:ascii="Arial" w:hAnsi="Arial" w:cs="Arial"/>
        </w:rPr>
        <w:t xml:space="preserve"> and mean height velocity standard deviation scores were not statistically significant between treatment and placebo groups during the study. The cholestyramine active treatment group demonstrated decreased vitamin D levels and increased</w:t>
      </w:r>
      <w:r w:rsidR="00F17C83" w:rsidRPr="001D2ADB">
        <w:rPr>
          <w:rFonts w:ascii="Arial" w:hAnsi="Arial" w:cs="Arial"/>
        </w:rPr>
        <w:t xml:space="preserve"> homocysteine levels</w:t>
      </w:r>
      <w:r w:rsidR="00375B2B" w:rsidRPr="001D2ADB">
        <w:rPr>
          <w:rFonts w:ascii="Arial" w:hAnsi="Arial" w:cs="Arial"/>
        </w:rPr>
        <w:t>. Diffe</w:t>
      </w:r>
      <w:r w:rsidR="0089771A" w:rsidRPr="001D2ADB">
        <w:rPr>
          <w:rFonts w:ascii="Arial" w:hAnsi="Arial" w:cs="Arial"/>
        </w:rPr>
        <w:t>rences in erythrocyte folate</w:t>
      </w:r>
      <w:r w:rsidR="00375B2B" w:rsidRPr="001D2ADB">
        <w:rPr>
          <w:rFonts w:ascii="Arial" w:hAnsi="Arial" w:cs="Arial"/>
        </w:rPr>
        <w:t xml:space="preserve"> were not significant between the active treatment and placebo groups. Reported adverse events included intestinal obstruction, abdominal pain, nausea, and loose stools. Unpalatability was a common reason partic</w:t>
      </w:r>
      <w:r w:rsidR="0007310D" w:rsidRPr="001D2ADB">
        <w:rPr>
          <w:rFonts w:ascii="Arial" w:hAnsi="Arial" w:cs="Arial"/>
        </w:rPr>
        <w:t>ipants withdrew from the study.</w:t>
      </w:r>
    </w:p>
    <w:p w14:paraId="6910080A" w14:textId="77777777" w:rsidR="00474DCD" w:rsidRPr="001D2ADB" w:rsidRDefault="00474DCD" w:rsidP="001D2ADB">
      <w:pPr>
        <w:autoSpaceDE w:val="0"/>
        <w:autoSpaceDN w:val="0"/>
        <w:adjustRightInd w:val="0"/>
        <w:spacing w:after="0"/>
        <w:rPr>
          <w:rFonts w:ascii="Arial" w:hAnsi="Arial" w:cs="Arial"/>
        </w:rPr>
      </w:pPr>
    </w:p>
    <w:p w14:paraId="0EC5D581" w14:textId="38389FB4" w:rsidR="009E6563" w:rsidRPr="001D2ADB" w:rsidRDefault="00C96180" w:rsidP="001D2ADB">
      <w:pPr>
        <w:autoSpaceDE w:val="0"/>
        <w:autoSpaceDN w:val="0"/>
        <w:adjustRightInd w:val="0"/>
        <w:spacing w:after="0"/>
        <w:rPr>
          <w:rFonts w:ascii="Arial" w:hAnsi="Arial" w:cs="Arial"/>
        </w:rPr>
      </w:pPr>
      <w:r w:rsidRPr="001D2ADB">
        <w:rPr>
          <w:rFonts w:ascii="Arial" w:hAnsi="Arial" w:cs="Arial"/>
        </w:rPr>
        <w:t>A</w:t>
      </w:r>
      <w:r w:rsidR="0007310D" w:rsidRPr="001D2ADB">
        <w:rPr>
          <w:rFonts w:ascii="Arial" w:hAnsi="Arial" w:cs="Arial"/>
        </w:rPr>
        <w:t xml:space="preserve">s demonstrated by the </w:t>
      </w:r>
      <w:r w:rsidR="00F17C83" w:rsidRPr="001D2ADB">
        <w:rPr>
          <w:rFonts w:ascii="Arial" w:hAnsi="Arial" w:cs="Arial"/>
        </w:rPr>
        <w:t>previous</w:t>
      </w:r>
      <w:r w:rsidR="0007310D" w:rsidRPr="001D2ADB">
        <w:rPr>
          <w:rFonts w:ascii="Arial" w:hAnsi="Arial" w:cs="Arial"/>
        </w:rPr>
        <w:t xml:space="preserve"> studies, </w:t>
      </w:r>
      <w:r w:rsidRPr="001D2ADB">
        <w:rPr>
          <w:rFonts w:ascii="Arial" w:hAnsi="Arial" w:cs="Arial"/>
        </w:rPr>
        <w:t xml:space="preserve">while </w:t>
      </w:r>
      <w:r w:rsidR="0007310D" w:rsidRPr="001D2ADB">
        <w:rPr>
          <w:rFonts w:ascii="Arial" w:hAnsi="Arial" w:cs="Arial"/>
        </w:rPr>
        <w:t>bile acid sequestrants do present an effective therapy option</w:t>
      </w:r>
      <w:r w:rsidRPr="001D2ADB">
        <w:rPr>
          <w:rFonts w:ascii="Arial" w:hAnsi="Arial" w:cs="Arial"/>
        </w:rPr>
        <w:t>,</w:t>
      </w:r>
      <w:r w:rsidR="00D22C7F" w:rsidRPr="001D2ADB">
        <w:rPr>
          <w:rFonts w:ascii="Arial" w:hAnsi="Arial" w:cs="Arial"/>
        </w:rPr>
        <w:t xml:space="preserve"> their side effect profile, </w:t>
      </w:r>
      <w:r w:rsidRPr="001D2ADB">
        <w:rPr>
          <w:rFonts w:ascii="Arial" w:hAnsi="Arial" w:cs="Arial"/>
        </w:rPr>
        <w:t xml:space="preserve">issues of </w:t>
      </w:r>
      <w:r w:rsidR="008C56AB" w:rsidRPr="001D2ADB">
        <w:rPr>
          <w:rFonts w:ascii="Arial" w:hAnsi="Arial" w:cs="Arial"/>
        </w:rPr>
        <w:t>tolerability</w:t>
      </w:r>
      <w:r w:rsidR="00D22C7F" w:rsidRPr="001D2ADB">
        <w:rPr>
          <w:rFonts w:ascii="Arial" w:hAnsi="Arial" w:cs="Arial"/>
        </w:rPr>
        <w:t xml:space="preserve"> and drug interactions with statins make their use clinically challenging. </w:t>
      </w:r>
      <w:r w:rsidRPr="001D2ADB">
        <w:rPr>
          <w:rFonts w:ascii="Arial" w:hAnsi="Arial" w:cs="Arial"/>
        </w:rPr>
        <w:t>It is generally recommended that all</w:t>
      </w:r>
      <w:r w:rsidR="00D22C7F" w:rsidRPr="001D2ADB">
        <w:rPr>
          <w:rFonts w:ascii="Arial" w:hAnsi="Arial" w:cs="Arial"/>
        </w:rPr>
        <w:t xml:space="preserve"> concurrent medications be given either one hour before or four hours after bile acid sequestrants to prevent decreased absorption of the additional therapies</w:t>
      </w:r>
      <w:r w:rsidR="00F0157D" w:rsidRPr="001D2ADB">
        <w:rPr>
          <w:rFonts w:ascii="Arial" w:hAnsi="Arial" w:cs="Arial"/>
        </w:rPr>
        <w:t xml:space="preserve"> (41</w:t>
      </w:r>
      <w:r w:rsidR="002A4FEE" w:rsidRPr="001D2ADB">
        <w:rPr>
          <w:rFonts w:ascii="Arial" w:hAnsi="Arial" w:cs="Arial"/>
        </w:rPr>
        <w:t>, 4</w:t>
      </w:r>
      <w:r w:rsidR="00F0157D" w:rsidRPr="001D2ADB">
        <w:rPr>
          <w:rFonts w:ascii="Arial" w:hAnsi="Arial" w:cs="Arial"/>
        </w:rPr>
        <w:t>6</w:t>
      </w:r>
      <w:r w:rsidR="002A4FEE" w:rsidRPr="001D2ADB">
        <w:rPr>
          <w:rFonts w:ascii="Arial" w:hAnsi="Arial" w:cs="Arial"/>
        </w:rPr>
        <w:t>)</w:t>
      </w:r>
      <w:r w:rsidR="00C07165" w:rsidRPr="001D2ADB">
        <w:rPr>
          <w:rFonts w:ascii="Arial" w:hAnsi="Arial" w:cs="Arial"/>
        </w:rPr>
        <w:t>.</w:t>
      </w:r>
      <w:r w:rsidR="006A6C95" w:rsidRPr="001D2ADB">
        <w:rPr>
          <w:rFonts w:ascii="Arial" w:hAnsi="Arial" w:cs="Arial"/>
        </w:rPr>
        <w:t xml:space="preserve"> Use</w:t>
      </w:r>
      <w:r w:rsidR="00D22C7F" w:rsidRPr="001D2ADB">
        <w:rPr>
          <w:rFonts w:ascii="Arial" w:hAnsi="Arial" w:cs="Arial"/>
        </w:rPr>
        <w:t xml:space="preserve"> of bile acid sequestrants is generally limited to </w:t>
      </w:r>
      <w:r w:rsidR="008C56AB" w:rsidRPr="001D2ADB">
        <w:rPr>
          <w:rFonts w:ascii="Arial" w:hAnsi="Arial" w:cs="Arial"/>
        </w:rPr>
        <w:t>patients optimized</w:t>
      </w:r>
      <w:r w:rsidR="00F17C83" w:rsidRPr="001D2ADB">
        <w:rPr>
          <w:rFonts w:ascii="Arial" w:hAnsi="Arial" w:cs="Arial"/>
        </w:rPr>
        <w:t xml:space="preserve"> on statin therapy</w:t>
      </w:r>
      <w:r w:rsidR="00D22C7F" w:rsidRPr="001D2ADB">
        <w:rPr>
          <w:rFonts w:ascii="Arial" w:hAnsi="Arial" w:cs="Arial"/>
        </w:rPr>
        <w:t xml:space="preserve"> </w:t>
      </w:r>
      <w:r w:rsidR="00F17C83" w:rsidRPr="001D2ADB">
        <w:rPr>
          <w:rFonts w:ascii="Arial" w:hAnsi="Arial" w:cs="Arial"/>
        </w:rPr>
        <w:t xml:space="preserve">who </w:t>
      </w:r>
      <w:r w:rsidR="00D22C7F" w:rsidRPr="001D2ADB">
        <w:rPr>
          <w:rFonts w:ascii="Arial" w:hAnsi="Arial" w:cs="Arial"/>
        </w:rPr>
        <w:t xml:space="preserve">require additional therapy to achieve goal or </w:t>
      </w:r>
      <w:r w:rsidR="00F17C83" w:rsidRPr="001D2ADB">
        <w:rPr>
          <w:rFonts w:ascii="Arial" w:hAnsi="Arial" w:cs="Arial"/>
        </w:rPr>
        <w:t>th</w:t>
      </w:r>
      <w:r w:rsidRPr="001D2ADB">
        <w:rPr>
          <w:rFonts w:ascii="Arial" w:hAnsi="Arial" w:cs="Arial"/>
        </w:rPr>
        <w:t>os</w:t>
      </w:r>
      <w:r w:rsidR="00F17C83" w:rsidRPr="001D2ADB">
        <w:rPr>
          <w:rFonts w:ascii="Arial" w:hAnsi="Arial" w:cs="Arial"/>
        </w:rPr>
        <w:t>e</w:t>
      </w:r>
      <w:r w:rsidR="00D22C7F" w:rsidRPr="001D2ADB">
        <w:rPr>
          <w:rFonts w:ascii="Arial" w:hAnsi="Arial" w:cs="Arial"/>
        </w:rPr>
        <w:t xml:space="preserve"> that cannot tolerate statins.  </w:t>
      </w:r>
      <w:r w:rsidRPr="001D2ADB">
        <w:rPr>
          <w:rFonts w:ascii="Arial" w:hAnsi="Arial" w:cs="Arial"/>
        </w:rPr>
        <w:t>Data on long-term safety, however,</w:t>
      </w:r>
      <w:r w:rsidR="009E6563" w:rsidRPr="001D2ADB">
        <w:rPr>
          <w:rFonts w:ascii="Arial" w:hAnsi="Arial" w:cs="Arial"/>
        </w:rPr>
        <w:t xml:space="preserve"> are generally lacking.</w:t>
      </w:r>
      <w:r w:rsidR="002A4FEE" w:rsidRPr="001D2ADB">
        <w:rPr>
          <w:rFonts w:ascii="Arial" w:hAnsi="Arial" w:cs="Arial"/>
        </w:rPr>
        <w:t xml:space="preserve"> It should also be noted that bile acid sequestrants can increase </w:t>
      </w:r>
      <w:r w:rsidR="00BF20B6" w:rsidRPr="001D2ADB">
        <w:rPr>
          <w:rFonts w:ascii="Arial" w:hAnsi="Arial" w:cs="Arial"/>
        </w:rPr>
        <w:t>triglyceride levels and should not be used in patients with increased triglyceride levels.</w:t>
      </w:r>
    </w:p>
    <w:p w14:paraId="61E04D61" w14:textId="77777777" w:rsidR="00474DCD" w:rsidRPr="001D2ADB" w:rsidRDefault="00474DCD" w:rsidP="001D2ADB">
      <w:pPr>
        <w:spacing w:after="0"/>
        <w:outlineLvl w:val="0"/>
        <w:rPr>
          <w:rFonts w:ascii="Arial" w:hAnsi="Arial" w:cs="Arial"/>
        </w:rPr>
      </w:pPr>
    </w:p>
    <w:p w14:paraId="569C6332" w14:textId="27116870" w:rsidR="00375B2B" w:rsidRPr="001D2ADB" w:rsidRDefault="00375B2B" w:rsidP="001D2ADB">
      <w:pPr>
        <w:spacing w:after="0"/>
        <w:outlineLvl w:val="0"/>
        <w:rPr>
          <w:rFonts w:ascii="Arial" w:hAnsi="Arial" w:cs="Arial"/>
          <w:b/>
          <w:bCs/>
          <w:color w:val="0070C0"/>
        </w:rPr>
      </w:pPr>
      <w:r w:rsidRPr="001D2ADB">
        <w:rPr>
          <w:rFonts w:ascii="Arial" w:hAnsi="Arial" w:cs="Arial"/>
          <w:b/>
          <w:bCs/>
          <w:color w:val="0070C0"/>
        </w:rPr>
        <w:t>FIBRIC ACID DERIVATIVES</w:t>
      </w:r>
    </w:p>
    <w:p w14:paraId="6A67F466" w14:textId="77777777" w:rsidR="00474DCD" w:rsidRPr="001D2ADB" w:rsidRDefault="00474DCD" w:rsidP="001D2ADB">
      <w:pPr>
        <w:spacing w:after="0"/>
        <w:rPr>
          <w:rFonts w:ascii="Arial" w:hAnsi="Arial" w:cs="Arial"/>
        </w:rPr>
      </w:pPr>
    </w:p>
    <w:p w14:paraId="48964AE2" w14:textId="796F29EF" w:rsidR="00075623" w:rsidRPr="001D2ADB" w:rsidRDefault="00F17C83" w:rsidP="001D2ADB">
      <w:pPr>
        <w:spacing w:after="0"/>
        <w:rPr>
          <w:rFonts w:ascii="Arial" w:hAnsi="Arial" w:cs="Arial"/>
          <w:vertAlign w:val="superscript"/>
        </w:rPr>
      </w:pPr>
      <w:r w:rsidRPr="001D2ADB">
        <w:rPr>
          <w:rFonts w:ascii="Arial" w:hAnsi="Arial" w:cs="Arial"/>
        </w:rPr>
        <w:t>Experience with f</w:t>
      </w:r>
      <w:r w:rsidR="00375B2B" w:rsidRPr="001D2ADB">
        <w:rPr>
          <w:rFonts w:ascii="Arial" w:hAnsi="Arial" w:cs="Arial"/>
        </w:rPr>
        <w:t xml:space="preserve">ibric acid derivatives </w:t>
      </w:r>
      <w:r w:rsidRPr="001D2ADB">
        <w:rPr>
          <w:rFonts w:ascii="Arial" w:hAnsi="Arial" w:cs="Arial"/>
        </w:rPr>
        <w:t>in youth is limited</w:t>
      </w:r>
      <w:r w:rsidR="00375B2B" w:rsidRPr="001D2ADB">
        <w:rPr>
          <w:rFonts w:ascii="Arial" w:hAnsi="Arial" w:cs="Arial"/>
        </w:rPr>
        <w:t>. Currently there are no fibric acid derivatives with FDA approval for use in pediatric patients. Both fenofibrate and gemfibrozil are available in the United Sates, but</w:t>
      </w:r>
      <w:r w:rsidR="00144D3F" w:rsidRPr="001D2ADB">
        <w:rPr>
          <w:rFonts w:ascii="Arial" w:hAnsi="Arial" w:cs="Arial"/>
        </w:rPr>
        <w:t xml:space="preserve"> </w:t>
      </w:r>
      <w:r w:rsidR="00755A0C" w:rsidRPr="001D2ADB">
        <w:rPr>
          <w:rFonts w:ascii="Arial" w:hAnsi="Arial" w:cs="Arial"/>
        </w:rPr>
        <w:t>lack</w:t>
      </w:r>
      <w:r w:rsidR="00144D3F" w:rsidRPr="001D2ADB">
        <w:rPr>
          <w:rFonts w:ascii="Arial" w:hAnsi="Arial" w:cs="Arial"/>
        </w:rPr>
        <w:t xml:space="preserve"> p</w:t>
      </w:r>
      <w:r w:rsidR="00375B2B" w:rsidRPr="001D2ADB">
        <w:rPr>
          <w:rFonts w:ascii="Arial" w:hAnsi="Arial" w:cs="Arial"/>
        </w:rPr>
        <w:t>ediatric data on safety, efficacy, and dosing</w:t>
      </w:r>
      <w:r w:rsidR="00D34154" w:rsidRPr="001D2ADB">
        <w:rPr>
          <w:rFonts w:ascii="Arial" w:hAnsi="Arial" w:cs="Arial"/>
        </w:rPr>
        <w:t xml:space="preserve"> (</w:t>
      </w:r>
      <w:r w:rsidR="00F0157D" w:rsidRPr="001D2ADB">
        <w:rPr>
          <w:rFonts w:ascii="Arial" w:hAnsi="Arial" w:cs="Arial"/>
        </w:rPr>
        <w:t>50, 51</w:t>
      </w:r>
      <w:r w:rsidR="00D34154" w:rsidRPr="001D2ADB">
        <w:rPr>
          <w:rFonts w:ascii="Arial" w:hAnsi="Arial" w:cs="Arial"/>
        </w:rPr>
        <w:t>)</w:t>
      </w:r>
      <w:r w:rsidR="008C56AB" w:rsidRPr="001D2ADB">
        <w:rPr>
          <w:rFonts w:ascii="Arial" w:hAnsi="Arial" w:cs="Arial"/>
        </w:rPr>
        <w:t>.</w:t>
      </w:r>
      <w:r w:rsidR="00375B2B" w:rsidRPr="001D2ADB">
        <w:rPr>
          <w:rFonts w:ascii="Arial" w:hAnsi="Arial" w:cs="Arial"/>
        </w:rPr>
        <w:t xml:space="preserve">  While </w:t>
      </w:r>
      <w:r w:rsidR="00C96180" w:rsidRPr="001D2ADB">
        <w:rPr>
          <w:rFonts w:ascii="Arial" w:hAnsi="Arial" w:cs="Arial"/>
        </w:rPr>
        <w:t xml:space="preserve">there is very limited </w:t>
      </w:r>
      <w:r w:rsidR="00375B2B" w:rsidRPr="001D2ADB">
        <w:rPr>
          <w:rFonts w:ascii="Arial" w:hAnsi="Arial" w:cs="Arial"/>
        </w:rPr>
        <w:t xml:space="preserve">information </w:t>
      </w:r>
      <w:r w:rsidR="00C96180" w:rsidRPr="001D2ADB">
        <w:rPr>
          <w:rFonts w:ascii="Arial" w:hAnsi="Arial" w:cs="Arial"/>
        </w:rPr>
        <w:t>on the</w:t>
      </w:r>
      <w:r w:rsidR="00375B2B" w:rsidRPr="001D2ADB">
        <w:rPr>
          <w:rFonts w:ascii="Arial" w:hAnsi="Arial" w:cs="Arial"/>
        </w:rPr>
        <w:t xml:space="preserve"> use </w:t>
      </w:r>
      <w:r w:rsidR="00C96180" w:rsidRPr="001D2ADB">
        <w:rPr>
          <w:rFonts w:ascii="Arial" w:hAnsi="Arial" w:cs="Arial"/>
        </w:rPr>
        <w:t xml:space="preserve">of bezafibrate </w:t>
      </w:r>
      <w:r w:rsidR="00375B2B" w:rsidRPr="001D2ADB">
        <w:rPr>
          <w:rFonts w:ascii="Arial" w:hAnsi="Arial" w:cs="Arial"/>
        </w:rPr>
        <w:t xml:space="preserve">in </w:t>
      </w:r>
      <w:r w:rsidR="00C96180" w:rsidRPr="001D2ADB">
        <w:rPr>
          <w:rFonts w:ascii="Arial" w:hAnsi="Arial" w:cs="Arial"/>
        </w:rPr>
        <w:t>youth, the product</w:t>
      </w:r>
      <w:r w:rsidR="00375B2B" w:rsidRPr="001D2ADB">
        <w:rPr>
          <w:rFonts w:ascii="Arial" w:hAnsi="Arial" w:cs="Arial"/>
        </w:rPr>
        <w:t xml:space="preserve"> is not available in the United States</w:t>
      </w:r>
      <w:r w:rsidR="00D34154" w:rsidRPr="001D2ADB">
        <w:rPr>
          <w:rFonts w:ascii="Arial" w:hAnsi="Arial" w:cs="Arial"/>
        </w:rPr>
        <w:t xml:space="preserve"> (</w:t>
      </w:r>
      <w:r w:rsidR="00F0157D" w:rsidRPr="001D2ADB">
        <w:rPr>
          <w:rFonts w:ascii="Arial" w:hAnsi="Arial" w:cs="Arial"/>
        </w:rPr>
        <w:t>52</w:t>
      </w:r>
      <w:r w:rsidR="00D34154" w:rsidRPr="001D2ADB">
        <w:rPr>
          <w:rFonts w:ascii="Arial" w:hAnsi="Arial" w:cs="Arial"/>
        </w:rPr>
        <w:t>)</w:t>
      </w:r>
      <w:r w:rsidR="00375B2B" w:rsidRPr="001D2ADB">
        <w:rPr>
          <w:rFonts w:ascii="Arial" w:hAnsi="Arial" w:cs="Arial"/>
        </w:rPr>
        <w:t>.</w:t>
      </w:r>
      <w:r w:rsidR="00755A0C" w:rsidRPr="001D2ADB">
        <w:rPr>
          <w:rFonts w:ascii="Arial" w:hAnsi="Arial" w:cs="Arial"/>
        </w:rPr>
        <w:t xml:space="preserve"> </w:t>
      </w:r>
      <w:r w:rsidR="00C96180" w:rsidRPr="001D2ADB">
        <w:rPr>
          <w:rFonts w:ascii="Arial" w:hAnsi="Arial" w:cs="Arial"/>
        </w:rPr>
        <w:t xml:space="preserve">It should be noted that </w:t>
      </w:r>
      <w:r w:rsidR="00755A0C" w:rsidRPr="001D2ADB">
        <w:rPr>
          <w:rFonts w:ascii="Arial" w:hAnsi="Arial" w:cs="Arial"/>
        </w:rPr>
        <w:t>fibric acid derivatives have the potential to increase the incidence in adverse events, such as rhabdomyolysis, when</w:t>
      </w:r>
      <w:r w:rsidRPr="001D2ADB">
        <w:rPr>
          <w:rFonts w:ascii="Arial" w:hAnsi="Arial" w:cs="Arial"/>
        </w:rPr>
        <w:t xml:space="preserve"> used </w:t>
      </w:r>
      <w:r w:rsidR="00755A0C" w:rsidRPr="001D2ADB">
        <w:rPr>
          <w:rFonts w:ascii="Arial" w:hAnsi="Arial" w:cs="Arial"/>
        </w:rPr>
        <w:t>with statins</w:t>
      </w:r>
      <w:r w:rsidR="00D34154" w:rsidRPr="001D2ADB">
        <w:rPr>
          <w:rFonts w:ascii="Arial" w:hAnsi="Arial" w:cs="Arial"/>
        </w:rPr>
        <w:t xml:space="preserve"> (4</w:t>
      </w:r>
      <w:r w:rsidR="00F0157D" w:rsidRPr="001D2ADB">
        <w:rPr>
          <w:rFonts w:ascii="Arial" w:hAnsi="Arial" w:cs="Arial"/>
        </w:rPr>
        <w:t>5</w:t>
      </w:r>
      <w:r w:rsidR="00D34154" w:rsidRPr="001D2ADB">
        <w:rPr>
          <w:rFonts w:ascii="Arial" w:hAnsi="Arial" w:cs="Arial"/>
        </w:rPr>
        <w:t xml:space="preserve">, </w:t>
      </w:r>
      <w:r w:rsidR="00F0157D" w:rsidRPr="001D2ADB">
        <w:rPr>
          <w:rFonts w:ascii="Arial" w:hAnsi="Arial" w:cs="Arial"/>
        </w:rPr>
        <w:t>50</w:t>
      </w:r>
      <w:r w:rsidR="00D34154" w:rsidRPr="001D2ADB">
        <w:rPr>
          <w:rFonts w:ascii="Arial" w:hAnsi="Arial" w:cs="Arial"/>
        </w:rPr>
        <w:t xml:space="preserve">, </w:t>
      </w:r>
      <w:r w:rsidR="00F0157D" w:rsidRPr="001D2ADB">
        <w:rPr>
          <w:rFonts w:ascii="Arial" w:hAnsi="Arial" w:cs="Arial"/>
        </w:rPr>
        <w:t>51</w:t>
      </w:r>
      <w:r w:rsidR="00D34154" w:rsidRPr="001D2ADB">
        <w:rPr>
          <w:rFonts w:ascii="Arial" w:hAnsi="Arial" w:cs="Arial"/>
        </w:rPr>
        <w:t>)</w:t>
      </w:r>
      <w:r w:rsidR="00755A0C" w:rsidRPr="001D2ADB">
        <w:rPr>
          <w:rFonts w:ascii="Arial" w:hAnsi="Arial" w:cs="Arial"/>
        </w:rPr>
        <w:t>.</w:t>
      </w:r>
      <w:r w:rsidR="005615D0" w:rsidRPr="001D2ADB">
        <w:rPr>
          <w:rFonts w:ascii="Arial" w:hAnsi="Arial" w:cs="Arial"/>
          <w:vertAlign w:val="superscript"/>
        </w:rPr>
        <w:t xml:space="preserve"> </w:t>
      </w:r>
      <w:r w:rsidR="007D21B4" w:rsidRPr="001D2ADB">
        <w:rPr>
          <w:rFonts w:ascii="Arial" w:hAnsi="Arial" w:cs="Arial"/>
        </w:rPr>
        <w:t>However, the use of fibrates should be considered and can be beneficial in pediatric patients who also have triglyceride abnormalities (TG levels &gt; 500 mg/dL)</w:t>
      </w:r>
      <w:r w:rsidR="00D34154" w:rsidRPr="001D2ADB">
        <w:rPr>
          <w:rFonts w:ascii="Arial" w:hAnsi="Arial" w:cs="Arial"/>
        </w:rPr>
        <w:t xml:space="preserve"> (9, 5</w:t>
      </w:r>
      <w:r w:rsidR="00F0157D" w:rsidRPr="001D2ADB">
        <w:rPr>
          <w:rFonts w:ascii="Arial" w:hAnsi="Arial" w:cs="Arial"/>
        </w:rPr>
        <w:t>3</w:t>
      </w:r>
      <w:r w:rsidR="00D34154" w:rsidRPr="001D2ADB">
        <w:rPr>
          <w:rFonts w:ascii="Arial" w:hAnsi="Arial" w:cs="Arial"/>
        </w:rPr>
        <w:t>)</w:t>
      </w:r>
      <w:r w:rsidR="007D21B4" w:rsidRPr="001D2ADB">
        <w:rPr>
          <w:rFonts w:ascii="Arial" w:hAnsi="Arial" w:cs="Arial"/>
        </w:rPr>
        <w:t xml:space="preserve">. </w:t>
      </w:r>
    </w:p>
    <w:p w14:paraId="7D60555F" w14:textId="77777777" w:rsidR="00474DCD" w:rsidRPr="001D2ADB" w:rsidRDefault="00474DCD" w:rsidP="001D2ADB">
      <w:pPr>
        <w:spacing w:after="0"/>
        <w:rPr>
          <w:rFonts w:ascii="Arial" w:hAnsi="Arial" w:cs="Arial"/>
        </w:rPr>
      </w:pPr>
    </w:p>
    <w:p w14:paraId="48C39226" w14:textId="3117E95D" w:rsidR="00375B2B" w:rsidRPr="001D2ADB" w:rsidRDefault="00375B2B" w:rsidP="001D2ADB">
      <w:pPr>
        <w:spacing w:after="0"/>
        <w:rPr>
          <w:rFonts w:ascii="Arial" w:hAnsi="Arial" w:cs="Arial"/>
          <w:b/>
          <w:bCs/>
          <w:color w:val="0070C0"/>
        </w:rPr>
      </w:pPr>
      <w:r w:rsidRPr="001D2ADB">
        <w:rPr>
          <w:rFonts w:ascii="Arial" w:hAnsi="Arial" w:cs="Arial"/>
          <w:b/>
          <w:bCs/>
          <w:color w:val="0070C0"/>
        </w:rPr>
        <w:t>NIACIN</w:t>
      </w:r>
    </w:p>
    <w:p w14:paraId="76E6236B" w14:textId="77777777" w:rsidR="00474DCD" w:rsidRPr="001D2ADB" w:rsidRDefault="00474DCD" w:rsidP="001D2ADB">
      <w:pPr>
        <w:spacing w:after="0"/>
        <w:rPr>
          <w:rFonts w:ascii="Arial" w:hAnsi="Arial" w:cs="Arial"/>
          <w:b/>
          <w:bCs/>
          <w:color w:val="0070C0"/>
        </w:rPr>
      </w:pPr>
    </w:p>
    <w:p w14:paraId="11CA91AD" w14:textId="0C6347BF" w:rsidR="00375B2B" w:rsidRPr="001D2ADB" w:rsidRDefault="00375B2B" w:rsidP="001D2ADB">
      <w:pPr>
        <w:spacing w:after="0"/>
        <w:rPr>
          <w:rFonts w:ascii="Arial" w:hAnsi="Arial" w:cs="Arial"/>
          <w:vertAlign w:val="superscript"/>
        </w:rPr>
      </w:pPr>
      <w:r w:rsidRPr="001D2ADB">
        <w:rPr>
          <w:rFonts w:ascii="Arial" w:hAnsi="Arial" w:cs="Arial"/>
        </w:rPr>
        <w:t>Niacin provides a potential adjunct therap</w:t>
      </w:r>
      <w:r w:rsidR="00C96180" w:rsidRPr="001D2ADB">
        <w:rPr>
          <w:rFonts w:ascii="Arial" w:hAnsi="Arial" w:cs="Arial"/>
        </w:rPr>
        <w:t>eu</w:t>
      </w:r>
      <w:r w:rsidR="00F17C83" w:rsidRPr="001D2ADB">
        <w:rPr>
          <w:rFonts w:ascii="Arial" w:hAnsi="Arial" w:cs="Arial"/>
        </w:rPr>
        <w:t>tic</w:t>
      </w:r>
      <w:r w:rsidRPr="001D2ADB">
        <w:rPr>
          <w:rFonts w:ascii="Arial" w:hAnsi="Arial" w:cs="Arial"/>
        </w:rPr>
        <w:t xml:space="preserve"> option for </w:t>
      </w:r>
      <w:r w:rsidR="00C96180" w:rsidRPr="001D2ADB">
        <w:rPr>
          <w:rFonts w:ascii="Arial" w:hAnsi="Arial" w:cs="Arial"/>
        </w:rPr>
        <w:t>youth</w:t>
      </w:r>
      <w:r w:rsidRPr="001D2ADB">
        <w:rPr>
          <w:rFonts w:ascii="Arial" w:hAnsi="Arial" w:cs="Arial"/>
        </w:rPr>
        <w:t xml:space="preserve"> with severe dyslipidemia who </w:t>
      </w:r>
      <w:r w:rsidR="00F17C83" w:rsidRPr="001D2ADB">
        <w:rPr>
          <w:rFonts w:ascii="Arial" w:hAnsi="Arial" w:cs="Arial"/>
        </w:rPr>
        <w:t>have</w:t>
      </w:r>
      <w:r w:rsidRPr="001D2ADB">
        <w:rPr>
          <w:rFonts w:ascii="Arial" w:hAnsi="Arial" w:cs="Arial"/>
        </w:rPr>
        <w:t xml:space="preserve"> not achiev</w:t>
      </w:r>
      <w:r w:rsidR="00F17C83" w:rsidRPr="001D2ADB">
        <w:rPr>
          <w:rFonts w:ascii="Arial" w:hAnsi="Arial" w:cs="Arial"/>
        </w:rPr>
        <w:t>ed</w:t>
      </w:r>
      <w:r w:rsidRPr="001D2ADB">
        <w:rPr>
          <w:rFonts w:ascii="Arial" w:hAnsi="Arial" w:cs="Arial"/>
        </w:rPr>
        <w:t xml:space="preserve"> their </w:t>
      </w:r>
      <w:r w:rsidR="00F17C83" w:rsidRPr="001D2ADB">
        <w:rPr>
          <w:rFonts w:ascii="Arial" w:hAnsi="Arial" w:cs="Arial"/>
        </w:rPr>
        <w:t>lipid goal</w:t>
      </w:r>
      <w:r w:rsidRPr="001D2ADB">
        <w:rPr>
          <w:rFonts w:ascii="Arial" w:hAnsi="Arial" w:cs="Arial"/>
        </w:rPr>
        <w:t>.</w:t>
      </w:r>
      <w:r w:rsidR="00DB04F7" w:rsidRPr="001D2ADB">
        <w:rPr>
          <w:rFonts w:ascii="Arial" w:hAnsi="Arial" w:cs="Arial"/>
        </w:rPr>
        <w:t xml:space="preserve"> Extended-release niacin is the only formulation that </w:t>
      </w:r>
      <w:r w:rsidR="00806ED0" w:rsidRPr="001D2ADB">
        <w:rPr>
          <w:rFonts w:ascii="Arial" w:hAnsi="Arial" w:cs="Arial"/>
        </w:rPr>
        <w:t>has</w:t>
      </w:r>
      <w:r w:rsidR="00DB04F7" w:rsidRPr="001D2ADB">
        <w:rPr>
          <w:rFonts w:ascii="Arial" w:hAnsi="Arial" w:cs="Arial"/>
        </w:rPr>
        <w:t xml:space="preserve"> FDA-approval for use in children </w:t>
      </w:r>
      <w:r w:rsidR="00DB04F7" w:rsidRPr="001D2ADB">
        <w:rPr>
          <w:rFonts w:ascii="Arial" w:hAnsi="Arial" w:cs="Arial"/>
          <w:u w:val="single"/>
        </w:rPr>
        <w:t>&gt;</w:t>
      </w:r>
      <w:r w:rsidR="00DB04F7" w:rsidRPr="001D2ADB">
        <w:rPr>
          <w:rFonts w:ascii="Arial" w:hAnsi="Arial" w:cs="Arial"/>
        </w:rPr>
        <w:t xml:space="preserve"> 16 years of age</w:t>
      </w:r>
      <w:r w:rsidR="00F0157D" w:rsidRPr="001D2ADB">
        <w:rPr>
          <w:rFonts w:ascii="Arial" w:hAnsi="Arial" w:cs="Arial"/>
        </w:rPr>
        <w:t xml:space="preserve"> (54</w:t>
      </w:r>
      <w:r w:rsidR="00D85D9C" w:rsidRPr="001D2ADB">
        <w:rPr>
          <w:rFonts w:ascii="Arial" w:hAnsi="Arial" w:cs="Arial"/>
        </w:rPr>
        <w:t>)</w:t>
      </w:r>
      <w:r w:rsidR="00DB04F7" w:rsidRPr="001D2ADB">
        <w:rPr>
          <w:rFonts w:ascii="Arial" w:hAnsi="Arial" w:cs="Arial"/>
        </w:rPr>
        <w:t>.</w:t>
      </w:r>
      <w:r w:rsidRPr="001D2ADB">
        <w:rPr>
          <w:rFonts w:ascii="Arial" w:hAnsi="Arial" w:cs="Arial"/>
        </w:rPr>
        <w:t xml:space="preserve"> Despite a lack of FDA approval</w:t>
      </w:r>
      <w:r w:rsidR="00DB04F7" w:rsidRPr="001D2ADB">
        <w:rPr>
          <w:rFonts w:ascii="Arial" w:hAnsi="Arial" w:cs="Arial"/>
        </w:rPr>
        <w:t xml:space="preserve"> for ages younger than 16</w:t>
      </w:r>
      <w:r w:rsidRPr="001D2ADB">
        <w:rPr>
          <w:rFonts w:ascii="Arial" w:hAnsi="Arial" w:cs="Arial"/>
        </w:rPr>
        <w:t xml:space="preserve">, limited efficacy and safety data </w:t>
      </w:r>
      <w:r w:rsidR="009C7FC3" w:rsidRPr="001D2ADB">
        <w:rPr>
          <w:rFonts w:ascii="Arial" w:hAnsi="Arial" w:cs="Arial"/>
        </w:rPr>
        <w:t>are</w:t>
      </w:r>
      <w:r w:rsidRPr="001D2ADB">
        <w:rPr>
          <w:rFonts w:ascii="Arial" w:hAnsi="Arial" w:cs="Arial"/>
        </w:rPr>
        <w:t xml:space="preserve"> published for the use of niacin in chil</w:t>
      </w:r>
      <w:r w:rsidR="00F17C83" w:rsidRPr="001D2ADB">
        <w:rPr>
          <w:rFonts w:ascii="Arial" w:hAnsi="Arial" w:cs="Arial"/>
        </w:rPr>
        <w:t xml:space="preserve">dren </w:t>
      </w:r>
      <w:r w:rsidRPr="001D2ADB">
        <w:rPr>
          <w:rFonts w:ascii="Arial" w:hAnsi="Arial" w:cs="Arial"/>
        </w:rPr>
        <w:t>10 years of age</w:t>
      </w:r>
      <w:r w:rsidR="00F17C83" w:rsidRPr="001D2ADB">
        <w:rPr>
          <w:rFonts w:ascii="Arial" w:hAnsi="Arial" w:cs="Arial"/>
        </w:rPr>
        <w:t xml:space="preserve"> as older</w:t>
      </w:r>
      <w:r w:rsidRPr="001D2ADB">
        <w:rPr>
          <w:rFonts w:ascii="Arial" w:hAnsi="Arial" w:cs="Arial"/>
        </w:rPr>
        <w:t xml:space="preserve"> as adjunct therapy</w:t>
      </w:r>
      <w:r w:rsidR="00F0157D" w:rsidRPr="001D2ADB">
        <w:rPr>
          <w:rFonts w:ascii="Arial" w:hAnsi="Arial" w:cs="Arial"/>
        </w:rPr>
        <w:t xml:space="preserve"> (54</w:t>
      </w:r>
      <w:r w:rsidR="00D85D9C" w:rsidRPr="001D2ADB">
        <w:rPr>
          <w:rFonts w:ascii="Arial" w:hAnsi="Arial" w:cs="Arial"/>
        </w:rPr>
        <w:t>)</w:t>
      </w:r>
      <w:r w:rsidRPr="001D2ADB">
        <w:rPr>
          <w:rFonts w:ascii="Arial" w:hAnsi="Arial" w:cs="Arial"/>
        </w:rPr>
        <w:t>.</w:t>
      </w:r>
      <w:r w:rsidR="006A6C95" w:rsidRPr="001D2ADB">
        <w:rPr>
          <w:rFonts w:ascii="Arial" w:hAnsi="Arial" w:cs="Arial"/>
        </w:rPr>
        <w:t xml:space="preserve"> Table</w:t>
      </w:r>
      <w:r w:rsidR="00906196" w:rsidRPr="001D2ADB">
        <w:rPr>
          <w:rFonts w:ascii="Arial" w:hAnsi="Arial" w:cs="Arial"/>
        </w:rPr>
        <w:t xml:space="preserve"> </w:t>
      </w:r>
      <w:r w:rsidR="0070611D" w:rsidRPr="001D2ADB">
        <w:rPr>
          <w:rFonts w:ascii="Arial" w:hAnsi="Arial" w:cs="Arial"/>
        </w:rPr>
        <w:t>7</w:t>
      </w:r>
      <w:r w:rsidRPr="001D2ADB">
        <w:rPr>
          <w:rFonts w:ascii="Arial" w:hAnsi="Arial" w:cs="Arial"/>
        </w:rPr>
        <w:t xml:space="preserve"> summarizes data on recommended dosing ranges, comments on dose adjustments, and references supporting clinical trials.  </w:t>
      </w:r>
    </w:p>
    <w:p w14:paraId="23435378" w14:textId="1E18A815" w:rsidR="00375B2B" w:rsidRPr="001D2ADB" w:rsidRDefault="00375B2B" w:rsidP="001D2ADB">
      <w:pPr>
        <w:spacing w:after="0"/>
        <w:rPr>
          <w:rFonts w:ascii="Arial" w:hAnsi="Arial" w:cs="Arial"/>
          <w:vertAlign w:val="superscript"/>
        </w:rPr>
      </w:pPr>
      <w:r w:rsidRPr="001D2ADB">
        <w:rPr>
          <w:rFonts w:ascii="Arial" w:hAnsi="Arial" w:cs="Arial"/>
        </w:rPr>
        <w:t>Colletti and colleagues conducted a retrospective review to evaluate the efficacy and adverse effect profile of niacin for children with severe hypercholesterolemia</w:t>
      </w:r>
      <w:r w:rsidR="00F0157D" w:rsidRPr="001D2ADB">
        <w:rPr>
          <w:rFonts w:ascii="Arial" w:hAnsi="Arial" w:cs="Arial"/>
        </w:rPr>
        <w:t xml:space="preserve"> (54</w:t>
      </w:r>
      <w:r w:rsidR="00D85D9C" w:rsidRPr="001D2ADB">
        <w:rPr>
          <w:rFonts w:ascii="Arial" w:hAnsi="Arial" w:cs="Arial"/>
        </w:rPr>
        <w:t>)</w:t>
      </w:r>
      <w:r w:rsidRPr="001D2ADB">
        <w:rPr>
          <w:rFonts w:ascii="Arial" w:hAnsi="Arial" w:cs="Arial"/>
        </w:rPr>
        <w:t>. The effects on serum lipid p</w:t>
      </w:r>
      <w:r w:rsidR="00F4201D" w:rsidRPr="001D2ADB">
        <w:rPr>
          <w:rFonts w:ascii="Arial" w:hAnsi="Arial" w:cs="Arial"/>
        </w:rPr>
        <w:t xml:space="preserve">rofiles are detailed in Table </w:t>
      </w:r>
      <w:r w:rsidR="0070611D" w:rsidRPr="001D2ADB">
        <w:rPr>
          <w:rFonts w:ascii="Arial" w:hAnsi="Arial" w:cs="Arial"/>
        </w:rPr>
        <w:t>8</w:t>
      </w:r>
      <w:r w:rsidRPr="001D2ADB">
        <w:rPr>
          <w:rFonts w:ascii="Arial" w:hAnsi="Arial" w:cs="Arial"/>
        </w:rPr>
        <w:t xml:space="preserve">.  Adverse effects were common, affecting 76% of children, and similar to those reported for adults including: flushing, abdominal pain, vomiting, headache, and elevated liver enzymes. </w:t>
      </w:r>
      <w:r w:rsidR="00B533CE" w:rsidRPr="001D2ADB">
        <w:rPr>
          <w:rFonts w:ascii="Arial" w:hAnsi="Arial" w:cs="Arial"/>
        </w:rPr>
        <w:t xml:space="preserve">Due to the high prevalence of adverse effects, use of niacin should </w:t>
      </w:r>
      <w:r w:rsidR="00B533CE" w:rsidRPr="001D2ADB">
        <w:rPr>
          <w:rFonts w:ascii="Arial" w:hAnsi="Arial" w:cs="Arial"/>
        </w:rPr>
        <w:lastRenderedPageBreak/>
        <w:t>be limited to patients not achieving goal with other therapies or those who cannot tolerate alternative adjunctive options.</w:t>
      </w:r>
      <w:r w:rsidR="007D21B4" w:rsidRPr="001D2ADB">
        <w:rPr>
          <w:rFonts w:ascii="Arial" w:hAnsi="Arial" w:cs="Arial"/>
        </w:rPr>
        <w:t xml:space="preserve"> As with fibrates, niacin can also be considered for the purposes of treating pediatric patients who are </w:t>
      </w:r>
      <w:r w:rsidR="00DB04F7" w:rsidRPr="001D2ADB">
        <w:rPr>
          <w:rFonts w:ascii="Arial" w:hAnsi="Arial" w:cs="Arial"/>
        </w:rPr>
        <w:t xml:space="preserve">concurrently </w:t>
      </w:r>
      <w:r w:rsidR="007D21B4" w:rsidRPr="001D2ADB">
        <w:rPr>
          <w:rFonts w:ascii="Arial" w:hAnsi="Arial" w:cs="Arial"/>
        </w:rPr>
        <w:t>diagnosed with hypertriglyceridemia</w:t>
      </w:r>
      <w:r w:rsidR="00D85D9C" w:rsidRPr="001D2ADB">
        <w:rPr>
          <w:rFonts w:ascii="Arial" w:hAnsi="Arial" w:cs="Arial"/>
        </w:rPr>
        <w:t xml:space="preserve"> (9)</w:t>
      </w:r>
      <w:r w:rsidR="007D21B4" w:rsidRPr="001D2ADB">
        <w:rPr>
          <w:rFonts w:ascii="Arial" w:hAnsi="Arial" w:cs="Arial"/>
        </w:rPr>
        <w:t>.</w:t>
      </w:r>
    </w:p>
    <w:p w14:paraId="211EC5CF" w14:textId="77777777" w:rsidR="00474DCD" w:rsidRPr="001D2ADB" w:rsidRDefault="00474DCD" w:rsidP="001D2ADB">
      <w:pPr>
        <w:spacing w:after="0"/>
        <w:outlineLvl w:val="0"/>
        <w:rPr>
          <w:rFonts w:ascii="Arial" w:hAnsi="Arial" w:cs="Arial"/>
        </w:rPr>
      </w:pPr>
    </w:p>
    <w:tbl>
      <w:tblPr>
        <w:tblW w:w="9540" w:type="dxa"/>
        <w:jc w:val="center"/>
        <w:tblLook w:val="00A0" w:firstRow="1" w:lastRow="0" w:firstColumn="1" w:lastColumn="0" w:noHBand="0" w:noVBand="0"/>
      </w:tblPr>
      <w:tblGrid>
        <w:gridCol w:w="1365"/>
        <w:gridCol w:w="2445"/>
        <w:gridCol w:w="2198"/>
        <w:gridCol w:w="2031"/>
        <w:gridCol w:w="1501"/>
      </w:tblGrid>
      <w:tr w:rsidR="00D74FCC" w:rsidRPr="001D2ADB" w14:paraId="68BF02F8" w14:textId="77777777" w:rsidTr="005F69B3">
        <w:trPr>
          <w:trHeight w:val="368"/>
          <w:jc w:val="center"/>
        </w:trPr>
        <w:tc>
          <w:tcPr>
            <w:tcW w:w="9540"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7248AA6D" w14:textId="5CC217F4" w:rsidR="00D74FCC" w:rsidRPr="001D2ADB" w:rsidRDefault="00D74FCC" w:rsidP="001D2ADB">
            <w:pPr>
              <w:spacing w:after="0"/>
              <w:rPr>
                <w:rFonts w:ascii="Arial" w:hAnsi="Arial" w:cs="Arial"/>
                <w:b/>
                <w:bCs/>
                <w:color w:val="000000"/>
              </w:rPr>
            </w:pPr>
            <w:r w:rsidRPr="001D2ADB">
              <w:rPr>
                <w:rFonts w:ascii="Arial" w:hAnsi="Arial" w:cs="Arial"/>
                <w:b/>
                <w:bCs/>
                <w:color w:val="000000"/>
              </w:rPr>
              <w:t>Table 7. Niacin</w:t>
            </w:r>
          </w:p>
        </w:tc>
      </w:tr>
      <w:tr w:rsidR="00D74FCC" w:rsidRPr="001D2ADB" w14:paraId="41A27FAB" w14:textId="77777777" w:rsidTr="005F69B3">
        <w:trPr>
          <w:trHeight w:val="611"/>
          <w:jc w:val="center"/>
        </w:trPr>
        <w:tc>
          <w:tcPr>
            <w:tcW w:w="1183" w:type="dxa"/>
            <w:tcBorders>
              <w:top w:val="single" w:sz="4" w:space="0" w:color="auto"/>
              <w:left w:val="single" w:sz="4" w:space="0" w:color="auto"/>
              <w:bottom w:val="single" w:sz="4" w:space="0" w:color="auto"/>
              <w:right w:val="single" w:sz="4" w:space="0" w:color="auto"/>
            </w:tcBorders>
            <w:vAlign w:val="center"/>
          </w:tcPr>
          <w:p w14:paraId="02E1C92D"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Medication</w:t>
            </w:r>
          </w:p>
        </w:tc>
        <w:tc>
          <w:tcPr>
            <w:tcW w:w="2507" w:type="dxa"/>
            <w:tcBorders>
              <w:top w:val="single" w:sz="4" w:space="0" w:color="auto"/>
              <w:left w:val="nil"/>
              <w:bottom w:val="single" w:sz="4" w:space="0" w:color="auto"/>
              <w:right w:val="single" w:sz="4" w:space="0" w:color="auto"/>
            </w:tcBorders>
            <w:vAlign w:val="center"/>
          </w:tcPr>
          <w:p w14:paraId="2AEF7819"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Pediatric Approvals &amp; Indications</w:t>
            </w:r>
          </w:p>
        </w:tc>
        <w:tc>
          <w:tcPr>
            <w:tcW w:w="2250" w:type="dxa"/>
            <w:tcBorders>
              <w:top w:val="single" w:sz="4" w:space="0" w:color="auto"/>
              <w:left w:val="nil"/>
              <w:bottom w:val="single" w:sz="4" w:space="0" w:color="auto"/>
              <w:right w:val="single" w:sz="4" w:space="0" w:color="auto"/>
            </w:tcBorders>
            <w:vAlign w:val="center"/>
          </w:tcPr>
          <w:p w14:paraId="3FDF2C21"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Dosing</w:t>
            </w:r>
          </w:p>
        </w:tc>
        <w:tc>
          <w:tcPr>
            <w:tcW w:w="2070" w:type="dxa"/>
            <w:tcBorders>
              <w:top w:val="single" w:sz="4" w:space="0" w:color="auto"/>
              <w:left w:val="nil"/>
              <w:bottom w:val="single" w:sz="4" w:space="0" w:color="auto"/>
              <w:right w:val="single" w:sz="4" w:space="0" w:color="auto"/>
            </w:tcBorders>
            <w:vAlign w:val="center"/>
          </w:tcPr>
          <w:p w14:paraId="6FACBEAF"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Comments</w:t>
            </w:r>
          </w:p>
        </w:tc>
        <w:tc>
          <w:tcPr>
            <w:tcW w:w="1530" w:type="dxa"/>
            <w:tcBorders>
              <w:top w:val="single" w:sz="4" w:space="0" w:color="auto"/>
              <w:left w:val="nil"/>
              <w:bottom w:val="single" w:sz="4" w:space="0" w:color="auto"/>
              <w:right w:val="single" w:sz="4" w:space="0" w:color="auto"/>
            </w:tcBorders>
            <w:vAlign w:val="center"/>
          </w:tcPr>
          <w:p w14:paraId="511C3177"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Clinical Trials</w:t>
            </w:r>
          </w:p>
        </w:tc>
      </w:tr>
      <w:tr w:rsidR="00D74FCC" w:rsidRPr="001D2ADB" w14:paraId="5E7E5544" w14:textId="77777777" w:rsidTr="005F69B3">
        <w:trPr>
          <w:trHeight w:val="1020"/>
          <w:jc w:val="center"/>
        </w:trPr>
        <w:tc>
          <w:tcPr>
            <w:tcW w:w="1183" w:type="dxa"/>
            <w:tcBorders>
              <w:top w:val="nil"/>
              <w:left w:val="single" w:sz="4" w:space="0" w:color="auto"/>
              <w:bottom w:val="single" w:sz="4" w:space="0" w:color="auto"/>
              <w:right w:val="single" w:sz="4" w:space="0" w:color="auto"/>
            </w:tcBorders>
            <w:vAlign w:val="center"/>
          </w:tcPr>
          <w:p w14:paraId="12088A02"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Niacin</w:t>
            </w:r>
          </w:p>
        </w:tc>
        <w:tc>
          <w:tcPr>
            <w:tcW w:w="2507" w:type="dxa"/>
            <w:tcBorders>
              <w:top w:val="nil"/>
              <w:left w:val="nil"/>
              <w:bottom w:val="single" w:sz="4" w:space="0" w:color="auto"/>
              <w:right w:val="single" w:sz="4" w:space="0" w:color="auto"/>
            </w:tcBorders>
            <w:vAlign w:val="center"/>
          </w:tcPr>
          <w:p w14:paraId="6CA31BC2" w14:textId="77777777" w:rsidR="00D74FCC" w:rsidRPr="001D2ADB" w:rsidRDefault="00D74FCC" w:rsidP="001D2ADB">
            <w:pPr>
              <w:spacing w:after="0"/>
              <w:rPr>
                <w:rFonts w:ascii="Arial" w:hAnsi="Arial" w:cs="Arial"/>
                <w:color w:val="000000"/>
              </w:rPr>
            </w:pPr>
            <w:r w:rsidRPr="001D2ADB">
              <w:rPr>
                <w:rFonts w:ascii="Arial" w:hAnsi="Arial" w:cs="Arial"/>
                <w:color w:val="000000"/>
              </w:rPr>
              <w:t>Extended release: &gt;16 years of age</w:t>
            </w:r>
          </w:p>
          <w:p w14:paraId="486CC1AF" w14:textId="77777777" w:rsidR="00D74FCC" w:rsidRPr="001D2ADB" w:rsidRDefault="00D74FCC" w:rsidP="001D2ADB">
            <w:pPr>
              <w:spacing w:after="0"/>
              <w:rPr>
                <w:rFonts w:ascii="Arial" w:hAnsi="Arial" w:cs="Arial"/>
                <w:color w:val="000000"/>
              </w:rPr>
            </w:pPr>
            <w:r w:rsidRPr="001D2ADB">
              <w:rPr>
                <w:rFonts w:ascii="Arial" w:hAnsi="Arial" w:cs="Arial"/>
                <w:color w:val="000000"/>
              </w:rPr>
              <w:t xml:space="preserve">Note: Immediate release is not FDA Approved: </w:t>
            </w:r>
            <w:r w:rsidRPr="001D2ADB">
              <w:rPr>
                <w:rFonts w:ascii="Arial" w:hAnsi="Arial" w:cs="Arial"/>
                <w:color w:val="000000"/>
              </w:rPr>
              <w:br/>
              <w:t>Age ≥ 10</w:t>
            </w:r>
            <w:r w:rsidRPr="001D2ADB">
              <w:rPr>
                <w:rFonts w:ascii="Arial" w:hAnsi="Arial" w:cs="Arial"/>
                <w:color w:val="000000"/>
              </w:rPr>
              <w:br/>
              <w:t>Adjunct therapy</w:t>
            </w:r>
          </w:p>
        </w:tc>
        <w:tc>
          <w:tcPr>
            <w:tcW w:w="2250" w:type="dxa"/>
            <w:tcBorders>
              <w:top w:val="nil"/>
              <w:left w:val="nil"/>
              <w:bottom w:val="single" w:sz="4" w:space="0" w:color="auto"/>
              <w:right w:val="single" w:sz="4" w:space="0" w:color="auto"/>
            </w:tcBorders>
            <w:vAlign w:val="center"/>
          </w:tcPr>
          <w:p w14:paraId="0F4F391C" w14:textId="77777777" w:rsidR="00D74FCC" w:rsidRPr="001D2ADB" w:rsidRDefault="00D74FCC" w:rsidP="001D2ADB">
            <w:pPr>
              <w:spacing w:after="0"/>
              <w:rPr>
                <w:rFonts w:ascii="Arial" w:hAnsi="Arial" w:cs="Arial"/>
                <w:color w:val="000000"/>
              </w:rPr>
            </w:pPr>
            <w:r w:rsidRPr="001D2ADB">
              <w:rPr>
                <w:rFonts w:ascii="Arial" w:hAnsi="Arial" w:cs="Arial"/>
                <w:color w:val="000000"/>
              </w:rPr>
              <w:t>Initial: 100-250 mg/day</w:t>
            </w:r>
            <w:r w:rsidRPr="001D2ADB">
              <w:rPr>
                <w:rFonts w:ascii="Arial" w:hAnsi="Arial" w:cs="Arial"/>
                <w:color w:val="000000"/>
              </w:rPr>
              <w:br/>
              <w:t>(Max: 10 mg/kg/day)</w:t>
            </w:r>
            <w:r w:rsidRPr="001D2ADB">
              <w:rPr>
                <w:rFonts w:ascii="Arial" w:hAnsi="Arial" w:cs="Arial"/>
                <w:color w:val="000000"/>
              </w:rPr>
              <w:br/>
              <w:t>divided three times daily with meals</w:t>
            </w:r>
          </w:p>
        </w:tc>
        <w:tc>
          <w:tcPr>
            <w:tcW w:w="2070" w:type="dxa"/>
            <w:tcBorders>
              <w:top w:val="nil"/>
              <w:left w:val="nil"/>
              <w:bottom w:val="single" w:sz="4" w:space="0" w:color="auto"/>
              <w:right w:val="single" w:sz="4" w:space="0" w:color="auto"/>
            </w:tcBorders>
            <w:vAlign w:val="center"/>
          </w:tcPr>
          <w:p w14:paraId="6D4E952D" w14:textId="77777777" w:rsidR="00D74FCC" w:rsidRPr="001D2ADB" w:rsidRDefault="00D74FCC" w:rsidP="001D2ADB">
            <w:pPr>
              <w:spacing w:after="0"/>
              <w:rPr>
                <w:rFonts w:ascii="Arial" w:hAnsi="Arial" w:cs="Arial"/>
                <w:color w:val="000000"/>
              </w:rPr>
            </w:pPr>
            <w:r w:rsidRPr="001D2ADB">
              <w:rPr>
                <w:rFonts w:ascii="Arial" w:hAnsi="Arial" w:cs="Arial"/>
                <w:color w:val="000000"/>
              </w:rPr>
              <w:t>May titrate weekly by 100 mg/day or every 2-3 weeks by 250 mg/day</w:t>
            </w:r>
          </w:p>
        </w:tc>
        <w:tc>
          <w:tcPr>
            <w:tcW w:w="1530" w:type="dxa"/>
            <w:tcBorders>
              <w:top w:val="nil"/>
              <w:left w:val="nil"/>
              <w:bottom w:val="single" w:sz="4" w:space="0" w:color="auto"/>
              <w:right w:val="single" w:sz="4" w:space="0" w:color="auto"/>
            </w:tcBorders>
            <w:vAlign w:val="center"/>
          </w:tcPr>
          <w:p w14:paraId="7ABDCD6A" w14:textId="2E4AC22A" w:rsidR="00D74FCC" w:rsidRPr="001D2ADB" w:rsidRDefault="00D74FCC" w:rsidP="001D2ADB">
            <w:pPr>
              <w:spacing w:after="0"/>
              <w:rPr>
                <w:rFonts w:ascii="Arial" w:hAnsi="Arial" w:cs="Arial"/>
                <w:color w:val="000000"/>
                <w:vertAlign w:val="superscript"/>
              </w:rPr>
            </w:pPr>
            <w:r w:rsidRPr="001D2ADB">
              <w:rPr>
                <w:rFonts w:ascii="Arial" w:hAnsi="Arial" w:cs="Arial"/>
                <w:color w:val="000000"/>
              </w:rPr>
              <w:t>Colletti, et al</w:t>
            </w:r>
            <w:r w:rsidR="00F0157D" w:rsidRPr="001D2ADB">
              <w:rPr>
                <w:rFonts w:ascii="Arial" w:hAnsi="Arial" w:cs="Arial"/>
                <w:color w:val="000000"/>
              </w:rPr>
              <w:t xml:space="preserve"> (54</w:t>
            </w:r>
            <w:r w:rsidR="00D85D9C" w:rsidRPr="001D2ADB">
              <w:rPr>
                <w:rFonts w:ascii="Arial" w:hAnsi="Arial" w:cs="Arial"/>
                <w:color w:val="000000"/>
              </w:rPr>
              <w:t>)</w:t>
            </w:r>
          </w:p>
        </w:tc>
      </w:tr>
    </w:tbl>
    <w:p w14:paraId="2F99F1FD" w14:textId="67F76794" w:rsidR="00D74FCC" w:rsidRPr="001D2ADB" w:rsidRDefault="00D74FCC" w:rsidP="001D2ADB">
      <w:pPr>
        <w:spacing w:after="0"/>
        <w:rPr>
          <w:rFonts w:ascii="Arial" w:hAnsi="Arial" w:cs="Arial"/>
        </w:rPr>
      </w:pPr>
      <w:r w:rsidRPr="001D2ADB">
        <w:rPr>
          <w:rFonts w:ascii="Arial" w:hAnsi="Arial" w:cs="Arial"/>
        </w:rPr>
        <w:t>Abbreviations: mg=milligrams, kg=kilograms</w:t>
      </w:r>
      <w:r w:rsidR="00C2798A">
        <w:rPr>
          <w:rFonts w:ascii="Arial" w:hAnsi="Arial" w:cs="Arial"/>
        </w:rPr>
        <w:t>.</w:t>
      </w:r>
    </w:p>
    <w:p w14:paraId="3FE53A0C" w14:textId="77777777" w:rsidR="00D74FCC" w:rsidRPr="001D2ADB" w:rsidRDefault="00D74FCC" w:rsidP="001D2ADB">
      <w:pPr>
        <w:spacing w:after="0"/>
        <w:rPr>
          <w:rFonts w:ascii="Arial" w:hAnsi="Arial" w:cs="Arial"/>
        </w:rPr>
      </w:pPr>
    </w:p>
    <w:tbl>
      <w:tblPr>
        <w:tblW w:w="9162" w:type="dxa"/>
        <w:jc w:val="center"/>
        <w:tblLook w:val="00A0" w:firstRow="1" w:lastRow="0" w:firstColumn="1" w:lastColumn="0" w:noHBand="0" w:noVBand="0"/>
      </w:tblPr>
      <w:tblGrid>
        <w:gridCol w:w="1705"/>
        <w:gridCol w:w="1365"/>
        <w:gridCol w:w="2340"/>
        <w:gridCol w:w="1187"/>
        <w:gridCol w:w="840"/>
        <w:gridCol w:w="880"/>
        <w:gridCol w:w="860"/>
      </w:tblGrid>
      <w:tr w:rsidR="00D74FCC" w:rsidRPr="001D2ADB" w14:paraId="541AEBBF" w14:textId="77777777" w:rsidTr="00D85D9C">
        <w:trPr>
          <w:trHeight w:val="300"/>
          <w:jc w:val="center"/>
        </w:trPr>
        <w:tc>
          <w:tcPr>
            <w:tcW w:w="9162" w:type="dxa"/>
            <w:gridSpan w:val="7"/>
            <w:tcBorders>
              <w:top w:val="single" w:sz="4" w:space="0" w:color="auto"/>
              <w:left w:val="single" w:sz="4" w:space="0" w:color="auto"/>
              <w:bottom w:val="single" w:sz="4" w:space="0" w:color="auto"/>
              <w:right w:val="single" w:sz="4" w:space="0" w:color="auto"/>
            </w:tcBorders>
            <w:shd w:val="clear" w:color="auto" w:fill="FFFF00"/>
            <w:noWrap/>
            <w:vAlign w:val="center"/>
          </w:tcPr>
          <w:p w14:paraId="7B284CE5"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Table 8. Niacin</w:t>
            </w:r>
          </w:p>
        </w:tc>
      </w:tr>
      <w:tr w:rsidR="00D74FCC" w:rsidRPr="001D2ADB" w14:paraId="4E1CFEEF" w14:textId="77777777" w:rsidTr="005F69B3">
        <w:trPr>
          <w:trHeight w:val="300"/>
          <w:jc w:val="center"/>
        </w:trPr>
        <w:tc>
          <w:tcPr>
            <w:tcW w:w="1705" w:type="dxa"/>
            <w:tcBorders>
              <w:top w:val="single" w:sz="4" w:space="0" w:color="auto"/>
              <w:left w:val="single" w:sz="4" w:space="0" w:color="auto"/>
              <w:bottom w:val="single" w:sz="4" w:space="0" w:color="auto"/>
              <w:right w:val="single" w:sz="4" w:space="0" w:color="auto"/>
            </w:tcBorders>
            <w:noWrap/>
            <w:vAlign w:val="center"/>
          </w:tcPr>
          <w:p w14:paraId="27D2D049"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Study</w:t>
            </w:r>
          </w:p>
        </w:tc>
        <w:tc>
          <w:tcPr>
            <w:tcW w:w="1350" w:type="dxa"/>
            <w:tcBorders>
              <w:top w:val="single" w:sz="4" w:space="0" w:color="auto"/>
              <w:left w:val="nil"/>
              <w:bottom w:val="single" w:sz="4" w:space="0" w:color="auto"/>
              <w:right w:val="single" w:sz="4" w:space="0" w:color="auto"/>
            </w:tcBorders>
            <w:noWrap/>
            <w:vAlign w:val="center"/>
          </w:tcPr>
          <w:p w14:paraId="5D8D4873"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Medication</w:t>
            </w:r>
          </w:p>
        </w:tc>
        <w:tc>
          <w:tcPr>
            <w:tcW w:w="2340" w:type="dxa"/>
            <w:tcBorders>
              <w:top w:val="single" w:sz="4" w:space="0" w:color="auto"/>
              <w:left w:val="nil"/>
              <w:bottom w:val="single" w:sz="4" w:space="0" w:color="auto"/>
              <w:right w:val="single" w:sz="4" w:space="0" w:color="auto"/>
            </w:tcBorders>
            <w:noWrap/>
            <w:vAlign w:val="center"/>
          </w:tcPr>
          <w:p w14:paraId="10214C01"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Dose</w:t>
            </w:r>
          </w:p>
        </w:tc>
        <w:tc>
          <w:tcPr>
            <w:tcW w:w="3767" w:type="dxa"/>
            <w:gridSpan w:val="4"/>
            <w:tcBorders>
              <w:top w:val="single" w:sz="4" w:space="0" w:color="auto"/>
              <w:left w:val="nil"/>
              <w:bottom w:val="single" w:sz="4" w:space="0" w:color="auto"/>
              <w:right w:val="single" w:sz="4" w:space="0" w:color="auto"/>
            </w:tcBorders>
            <w:noWrap/>
            <w:vAlign w:val="center"/>
          </w:tcPr>
          <w:p w14:paraId="686D8F3D"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Results</w:t>
            </w:r>
          </w:p>
        </w:tc>
      </w:tr>
      <w:tr w:rsidR="00D74FCC" w:rsidRPr="001D2ADB" w14:paraId="59B2ADB8" w14:textId="77777777" w:rsidTr="005F69B3">
        <w:trPr>
          <w:trHeight w:val="300"/>
          <w:jc w:val="center"/>
        </w:trPr>
        <w:tc>
          <w:tcPr>
            <w:tcW w:w="1705" w:type="dxa"/>
            <w:vMerge w:val="restart"/>
            <w:tcBorders>
              <w:top w:val="nil"/>
              <w:left w:val="single" w:sz="4" w:space="0" w:color="auto"/>
              <w:bottom w:val="single" w:sz="4" w:space="0" w:color="auto"/>
              <w:right w:val="single" w:sz="4" w:space="0" w:color="auto"/>
            </w:tcBorders>
            <w:vAlign w:val="center"/>
          </w:tcPr>
          <w:p w14:paraId="496D069E" w14:textId="72E8173E" w:rsidR="00D74FCC" w:rsidRPr="001D2ADB" w:rsidRDefault="00D74FCC" w:rsidP="001D2ADB">
            <w:pPr>
              <w:spacing w:after="0"/>
              <w:rPr>
                <w:rFonts w:ascii="Arial" w:hAnsi="Arial" w:cs="Arial"/>
                <w:color w:val="000000"/>
                <w:vertAlign w:val="superscript"/>
              </w:rPr>
            </w:pPr>
            <w:r w:rsidRPr="001D2ADB">
              <w:rPr>
                <w:rFonts w:ascii="Arial" w:hAnsi="Arial" w:cs="Arial"/>
                <w:color w:val="000000"/>
              </w:rPr>
              <w:t>Colletti, et al</w:t>
            </w:r>
            <w:r w:rsidR="00F0157D" w:rsidRPr="001D2ADB">
              <w:rPr>
                <w:rFonts w:ascii="Arial" w:hAnsi="Arial" w:cs="Arial"/>
                <w:color w:val="000000"/>
              </w:rPr>
              <w:t xml:space="preserve"> (54</w:t>
            </w:r>
            <w:r w:rsidR="00D85D9C" w:rsidRPr="001D2ADB">
              <w:rPr>
                <w:rFonts w:ascii="Arial" w:hAnsi="Arial" w:cs="Arial"/>
                <w:color w:val="000000"/>
              </w:rPr>
              <w:t>)</w:t>
            </w:r>
          </w:p>
        </w:tc>
        <w:tc>
          <w:tcPr>
            <w:tcW w:w="1350" w:type="dxa"/>
            <w:vMerge w:val="restart"/>
            <w:tcBorders>
              <w:top w:val="nil"/>
              <w:left w:val="single" w:sz="4" w:space="0" w:color="auto"/>
              <w:bottom w:val="single" w:sz="4" w:space="0" w:color="auto"/>
              <w:right w:val="single" w:sz="4" w:space="0" w:color="auto"/>
            </w:tcBorders>
            <w:vAlign w:val="center"/>
          </w:tcPr>
          <w:p w14:paraId="76A3B589" w14:textId="77777777" w:rsidR="00D74FCC" w:rsidRPr="001D2ADB" w:rsidRDefault="00D74FCC" w:rsidP="001D2ADB">
            <w:pPr>
              <w:spacing w:after="0"/>
              <w:rPr>
                <w:rFonts w:ascii="Arial" w:hAnsi="Arial" w:cs="Arial"/>
                <w:color w:val="000000"/>
              </w:rPr>
            </w:pPr>
            <w:r w:rsidRPr="001D2ADB">
              <w:rPr>
                <w:rFonts w:ascii="Arial" w:hAnsi="Arial" w:cs="Arial"/>
                <w:color w:val="000000"/>
              </w:rPr>
              <w:t>Niacin</w:t>
            </w:r>
          </w:p>
        </w:tc>
        <w:tc>
          <w:tcPr>
            <w:tcW w:w="2340" w:type="dxa"/>
            <w:vMerge w:val="restart"/>
            <w:tcBorders>
              <w:top w:val="nil"/>
              <w:left w:val="single" w:sz="4" w:space="0" w:color="auto"/>
              <w:bottom w:val="single" w:sz="4" w:space="0" w:color="auto"/>
              <w:right w:val="single" w:sz="4" w:space="0" w:color="auto"/>
            </w:tcBorders>
            <w:vAlign w:val="center"/>
          </w:tcPr>
          <w:p w14:paraId="01783652" w14:textId="77777777" w:rsidR="00D74FCC" w:rsidRPr="001D2ADB" w:rsidRDefault="00D74FCC" w:rsidP="001D2ADB">
            <w:pPr>
              <w:spacing w:after="0"/>
              <w:rPr>
                <w:rFonts w:ascii="Arial" w:hAnsi="Arial" w:cs="Arial"/>
                <w:color w:val="000000"/>
              </w:rPr>
            </w:pPr>
            <w:r w:rsidRPr="001D2ADB">
              <w:rPr>
                <w:rFonts w:ascii="Arial" w:hAnsi="Arial" w:cs="Arial"/>
                <w:color w:val="000000"/>
              </w:rPr>
              <w:t>500-2,250 mg/day</w:t>
            </w:r>
          </w:p>
        </w:tc>
        <w:tc>
          <w:tcPr>
            <w:tcW w:w="1187" w:type="dxa"/>
            <w:tcBorders>
              <w:top w:val="nil"/>
              <w:left w:val="nil"/>
              <w:bottom w:val="single" w:sz="4" w:space="0" w:color="auto"/>
              <w:right w:val="single" w:sz="4" w:space="0" w:color="auto"/>
            </w:tcBorders>
            <w:vAlign w:val="center"/>
          </w:tcPr>
          <w:p w14:paraId="7BC88A7A" w14:textId="77777777" w:rsidR="00D74FCC" w:rsidRPr="001D2ADB" w:rsidRDefault="00D74FCC" w:rsidP="001D2ADB">
            <w:pPr>
              <w:spacing w:after="0"/>
              <w:rPr>
                <w:rFonts w:ascii="Arial" w:hAnsi="Arial" w:cs="Arial"/>
                <w:color w:val="000000"/>
              </w:rPr>
            </w:pPr>
            <w:r w:rsidRPr="001D2ADB">
              <w:rPr>
                <w:rFonts w:ascii="Arial" w:hAnsi="Arial" w:cs="Arial"/>
                <w:color w:val="000000"/>
              </w:rPr>
              <w:t>LDL-C</w:t>
            </w:r>
          </w:p>
        </w:tc>
        <w:tc>
          <w:tcPr>
            <w:tcW w:w="840" w:type="dxa"/>
            <w:tcBorders>
              <w:top w:val="nil"/>
              <w:left w:val="nil"/>
              <w:bottom w:val="single" w:sz="4" w:space="0" w:color="auto"/>
              <w:right w:val="single" w:sz="4" w:space="0" w:color="auto"/>
            </w:tcBorders>
            <w:vAlign w:val="center"/>
          </w:tcPr>
          <w:p w14:paraId="57756E58" w14:textId="77777777" w:rsidR="00D74FCC" w:rsidRPr="001D2ADB" w:rsidRDefault="00D74FCC" w:rsidP="001D2ADB">
            <w:pPr>
              <w:spacing w:after="0"/>
              <w:rPr>
                <w:rFonts w:ascii="Arial" w:hAnsi="Arial" w:cs="Arial"/>
                <w:color w:val="000000"/>
              </w:rPr>
            </w:pPr>
            <w:r w:rsidRPr="001D2ADB">
              <w:rPr>
                <w:rFonts w:ascii="Arial" w:hAnsi="Arial" w:cs="Arial"/>
                <w:color w:val="000000"/>
              </w:rPr>
              <w:t>HDL-C</w:t>
            </w:r>
          </w:p>
        </w:tc>
        <w:tc>
          <w:tcPr>
            <w:tcW w:w="880" w:type="dxa"/>
            <w:tcBorders>
              <w:top w:val="nil"/>
              <w:left w:val="nil"/>
              <w:bottom w:val="single" w:sz="4" w:space="0" w:color="auto"/>
              <w:right w:val="single" w:sz="4" w:space="0" w:color="auto"/>
            </w:tcBorders>
            <w:vAlign w:val="center"/>
          </w:tcPr>
          <w:p w14:paraId="4F170D4B" w14:textId="77777777" w:rsidR="00D74FCC" w:rsidRPr="001D2ADB" w:rsidRDefault="00D74FCC" w:rsidP="001D2ADB">
            <w:pPr>
              <w:spacing w:after="0"/>
              <w:rPr>
                <w:rFonts w:ascii="Arial" w:hAnsi="Arial" w:cs="Arial"/>
                <w:color w:val="000000"/>
              </w:rPr>
            </w:pPr>
            <w:r w:rsidRPr="001D2ADB">
              <w:rPr>
                <w:rFonts w:ascii="Arial" w:hAnsi="Arial" w:cs="Arial"/>
                <w:color w:val="000000"/>
              </w:rPr>
              <w:t>TC</w:t>
            </w:r>
          </w:p>
        </w:tc>
        <w:tc>
          <w:tcPr>
            <w:tcW w:w="860" w:type="dxa"/>
            <w:tcBorders>
              <w:top w:val="nil"/>
              <w:left w:val="nil"/>
              <w:bottom w:val="single" w:sz="4" w:space="0" w:color="auto"/>
              <w:right w:val="single" w:sz="4" w:space="0" w:color="auto"/>
            </w:tcBorders>
            <w:vAlign w:val="center"/>
          </w:tcPr>
          <w:p w14:paraId="4265E298" w14:textId="77777777" w:rsidR="00D74FCC" w:rsidRPr="001D2ADB" w:rsidRDefault="00D74FCC" w:rsidP="001D2ADB">
            <w:pPr>
              <w:spacing w:after="0"/>
              <w:rPr>
                <w:rFonts w:ascii="Arial" w:hAnsi="Arial" w:cs="Arial"/>
                <w:color w:val="000000"/>
              </w:rPr>
            </w:pPr>
            <w:r w:rsidRPr="001D2ADB">
              <w:rPr>
                <w:rFonts w:ascii="Arial" w:hAnsi="Arial" w:cs="Arial"/>
                <w:color w:val="000000"/>
              </w:rPr>
              <w:t>TG</w:t>
            </w:r>
          </w:p>
        </w:tc>
      </w:tr>
      <w:tr w:rsidR="00D74FCC" w:rsidRPr="001D2ADB" w14:paraId="0DE648D9" w14:textId="77777777" w:rsidTr="005F69B3">
        <w:trPr>
          <w:trHeight w:val="300"/>
          <w:jc w:val="center"/>
        </w:trPr>
        <w:tc>
          <w:tcPr>
            <w:tcW w:w="1705" w:type="dxa"/>
            <w:vMerge/>
            <w:tcBorders>
              <w:top w:val="nil"/>
              <w:left w:val="single" w:sz="4" w:space="0" w:color="auto"/>
              <w:bottom w:val="single" w:sz="4" w:space="0" w:color="auto"/>
              <w:right w:val="single" w:sz="4" w:space="0" w:color="auto"/>
            </w:tcBorders>
            <w:vAlign w:val="center"/>
          </w:tcPr>
          <w:p w14:paraId="36BF5724" w14:textId="77777777" w:rsidR="00D74FCC" w:rsidRPr="001D2ADB" w:rsidRDefault="00D74FCC" w:rsidP="001D2ADB">
            <w:pPr>
              <w:spacing w:after="0"/>
              <w:rPr>
                <w:rFonts w:ascii="Arial" w:hAnsi="Arial" w:cs="Arial"/>
                <w:color w:val="000000"/>
              </w:rPr>
            </w:pPr>
          </w:p>
        </w:tc>
        <w:tc>
          <w:tcPr>
            <w:tcW w:w="1350" w:type="dxa"/>
            <w:vMerge/>
            <w:tcBorders>
              <w:top w:val="nil"/>
              <w:left w:val="single" w:sz="4" w:space="0" w:color="auto"/>
              <w:bottom w:val="single" w:sz="4" w:space="0" w:color="auto"/>
              <w:right w:val="single" w:sz="4" w:space="0" w:color="auto"/>
            </w:tcBorders>
            <w:vAlign w:val="center"/>
          </w:tcPr>
          <w:p w14:paraId="657EDE1C" w14:textId="77777777" w:rsidR="00D74FCC" w:rsidRPr="001D2ADB" w:rsidRDefault="00D74FCC" w:rsidP="001D2ADB">
            <w:pPr>
              <w:spacing w:after="0"/>
              <w:rPr>
                <w:rFonts w:ascii="Arial" w:hAnsi="Arial" w:cs="Arial"/>
                <w:color w:val="000000"/>
              </w:rPr>
            </w:pPr>
          </w:p>
        </w:tc>
        <w:tc>
          <w:tcPr>
            <w:tcW w:w="2340" w:type="dxa"/>
            <w:vMerge/>
            <w:tcBorders>
              <w:top w:val="nil"/>
              <w:left w:val="single" w:sz="4" w:space="0" w:color="auto"/>
              <w:bottom w:val="single" w:sz="4" w:space="0" w:color="auto"/>
              <w:right w:val="single" w:sz="4" w:space="0" w:color="auto"/>
            </w:tcBorders>
            <w:vAlign w:val="center"/>
          </w:tcPr>
          <w:p w14:paraId="4F1BD6CD" w14:textId="77777777" w:rsidR="00D74FCC" w:rsidRPr="001D2ADB" w:rsidRDefault="00D74FCC" w:rsidP="001D2ADB">
            <w:pPr>
              <w:spacing w:after="0"/>
              <w:rPr>
                <w:rFonts w:ascii="Arial" w:hAnsi="Arial" w:cs="Arial"/>
                <w:color w:val="000000"/>
              </w:rPr>
            </w:pPr>
          </w:p>
        </w:tc>
        <w:tc>
          <w:tcPr>
            <w:tcW w:w="1187" w:type="dxa"/>
            <w:tcBorders>
              <w:top w:val="nil"/>
              <w:left w:val="nil"/>
              <w:bottom w:val="single" w:sz="4" w:space="0" w:color="auto"/>
              <w:right w:val="single" w:sz="4" w:space="0" w:color="auto"/>
            </w:tcBorders>
            <w:vAlign w:val="center"/>
          </w:tcPr>
          <w:p w14:paraId="7A0C4F42" w14:textId="77777777" w:rsidR="00D74FCC" w:rsidRPr="001D2ADB" w:rsidRDefault="00D74FCC" w:rsidP="001D2ADB">
            <w:pPr>
              <w:spacing w:after="0"/>
              <w:rPr>
                <w:rFonts w:ascii="Arial" w:hAnsi="Arial" w:cs="Arial"/>
                <w:color w:val="000000"/>
              </w:rPr>
            </w:pPr>
            <w:r w:rsidRPr="001D2ADB">
              <w:rPr>
                <w:rFonts w:ascii="Arial" w:hAnsi="Arial" w:cs="Arial"/>
                <w:color w:val="000000"/>
              </w:rPr>
              <w:t>-17%</w:t>
            </w:r>
          </w:p>
        </w:tc>
        <w:tc>
          <w:tcPr>
            <w:tcW w:w="840" w:type="dxa"/>
            <w:tcBorders>
              <w:top w:val="nil"/>
              <w:left w:val="nil"/>
              <w:bottom w:val="single" w:sz="4" w:space="0" w:color="auto"/>
              <w:right w:val="single" w:sz="4" w:space="0" w:color="auto"/>
            </w:tcBorders>
            <w:vAlign w:val="center"/>
          </w:tcPr>
          <w:p w14:paraId="4549A08B" w14:textId="77777777" w:rsidR="00D74FCC" w:rsidRPr="001D2ADB" w:rsidRDefault="00D74FCC" w:rsidP="001D2ADB">
            <w:pPr>
              <w:spacing w:after="0"/>
              <w:rPr>
                <w:rFonts w:ascii="Arial" w:hAnsi="Arial" w:cs="Arial"/>
                <w:color w:val="000000"/>
              </w:rPr>
            </w:pPr>
            <w:r w:rsidRPr="001D2ADB">
              <w:rPr>
                <w:rFonts w:ascii="Arial" w:hAnsi="Arial" w:cs="Arial"/>
                <w:color w:val="000000"/>
              </w:rPr>
              <w:t>+4%</w:t>
            </w:r>
          </w:p>
        </w:tc>
        <w:tc>
          <w:tcPr>
            <w:tcW w:w="880" w:type="dxa"/>
            <w:tcBorders>
              <w:top w:val="nil"/>
              <w:left w:val="nil"/>
              <w:bottom w:val="single" w:sz="4" w:space="0" w:color="auto"/>
              <w:right w:val="single" w:sz="4" w:space="0" w:color="auto"/>
            </w:tcBorders>
            <w:vAlign w:val="center"/>
          </w:tcPr>
          <w:p w14:paraId="34A0E138" w14:textId="77777777" w:rsidR="00D74FCC" w:rsidRPr="001D2ADB" w:rsidRDefault="00D74FCC" w:rsidP="001D2ADB">
            <w:pPr>
              <w:spacing w:after="0"/>
              <w:rPr>
                <w:rFonts w:ascii="Arial" w:hAnsi="Arial" w:cs="Arial"/>
                <w:color w:val="000000"/>
              </w:rPr>
            </w:pPr>
            <w:r w:rsidRPr="001D2ADB">
              <w:rPr>
                <w:rFonts w:ascii="Arial" w:hAnsi="Arial" w:cs="Arial"/>
                <w:color w:val="000000"/>
              </w:rPr>
              <w:t>-13%</w:t>
            </w:r>
          </w:p>
        </w:tc>
        <w:tc>
          <w:tcPr>
            <w:tcW w:w="860" w:type="dxa"/>
            <w:tcBorders>
              <w:top w:val="nil"/>
              <w:left w:val="nil"/>
              <w:bottom w:val="single" w:sz="4" w:space="0" w:color="auto"/>
              <w:right w:val="single" w:sz="4" w:space="0" w:color="auto"/>
            </w:tcBorders>
            <w:vAlign w:val="center"/>
          </w:tcPr>
          <w:p w14:paraId="1AECEA54" w14:textId="77777777" w:rsidR="00D74FCC" w:rsidRPr="001D2ADB" w:rsidRDefault="00D74FCC" w:rsidP="001D2ADB">
            <w:pPr>
              <w:spacing w:after="0"/>
              <w:rPr>
                <w:rFonts w:ascii="Arial" w:hAnsi="Arial" w:cs="Arial"/>
                <w:color w:val="000000"/>
              </w:rPr>
            </w:pPr>
            <w:r w:rsidRPr="001D2ADB">
              <w:rPr>
                <w:rFonts w:ascii="Arial" w:hAnsi="Arial" w:cs="Arial"/>
                <w:color w:val="000000"/>
              </w:rPr>
              <w:t>+13%</w:t>
            </w:r>
          </w:p>
        </w:tc>
      </w:tr>
    </w:tbl>
    <w:p w14:paraId="56856660" w14:textId="6391EE9D" w:rsidR="00D74FCC" w:rsidRPr="001D2ADB" w:rsidRDefault="00D74FCC" w:rsidP="001D2ADB">
      <w:pPr>
        <w:autoSpaceDE w:val="0"/>
        <w:autoSpaceDN w:val="0"/>
        <w:adjustRightInd w:val="0"/>
        <w:spacing w:after="0"/>
        <w:rPr>
          <w:rFonts w:ascii="Arial" w:hAnsi="Arial" w:cs="Arial"/>
        </w:rPr>
      </w:pPr>
      <w:r w:rsidRPr="001D2ADB">
        <w:rPr>
          <w:rFonts w:ascii="Arial" w:hAnsi="Arial" w:cs="Arial"/>
        </w:rPr>
        <w:t xml:space="preserve">Adapted from National Heart Lung and Blood Institute (NHLBI): Expert Panel on Integrated Guidelines for Cardiovascular Health and Risk Reduction in Children and Adolescents: Summary Report.  </w:t>
      </w:r>
      <w:r w:rsidRPr="001D2ADB">
        <w:rPr>
          <w:rFonts w:ascii="Arial" w:hAnsi="Arial" w:cs="Arial"/>
          <w:i/>
        </w:rPr>
        <w:t>Pediatrics</w:t>
      </w:r>
      <w:r w:rsidRPr="001D2ADB">
        <w:rPr>
          <w:rFonts w:ascii="Arial" w:hAnsi="Arial" w:cs="Arial"/>
        </w:rPr>
        <w:t>.  2011;128(S5</w:t>
      </w:r>
      <w:proofErr w:type="gramStart"/>
      <w:r w:rsidRPr="001D2ADB">
        <w:rPr>
          <w:rFonts w:ascii="Arial" w:hAnsi="Arial" w:cs="Arial"/>
        </w:rPr>
        <w:t>):S</w:t>
      </w:r>
      <w:proofErr w:type="gramEnd"/>
      <w:r w:rsidRPr="001D2ADB">
        <w:rPr>
          <w:rFonts w:ascii="Arial" w:hAnsi="Arial" w:cs="Arial"/>
        </w:rPr>
        <w:t>213-S256: Table 9-11.</w:t>
      </w:r>
      <w:r w:rsidRPr="001D2ADB">
        <w:rPr>
          <w:rFonts w:ascii="Arial" w:hAnsi="Arial" w:cs="Arial"/>
        </w:rPr>
        <w:br/>
        <w:t>Abbreviations: mg=milligrams, LDL-C=low density lipoprotein cholesterol, HDL-C=high density lipoprotein cholesterol, TC=total cholesterol, TG=triglycerides</w:t>
      </w:r>
      <w:r w:rsidR="00C2798A">
        <w:rPr>
          <w:rFonts w:ascii="Arial" w:hAnsi="Arial" w:cs="Arial"/>
        </w:rPr>
        <w:t>.</w:t>
      </w:r>
    </w:p>
    <w:p w14:paraId="51895AB1" w14:textId="77777777" w:rsidR="0070611D" w:rsidRPr="001D2ADB" w:rsidRDefault="0070611D" w:rsidP="001D2ADB">
      <w:pPr>
        <w:spacing w:after="0"/>
        <w:outlineLvl w:val="0"/>
        <w:rPr>
          <w:rFonts w:ascii="Arial" w:hAnsi="Arial" w:cs="Arial"/>
        </w:rPr>
      </w:pPr>
    </w:p>
    <w:p w14:paraId="68E5F038" w14:textId="75E9B056" w:rsidR="00375B2B" w:rsidRPr="001D2ADB" w:rsidRDefault="00375B2B" w:rsidP="001D2ADB">
      <w:pPr>
        <w:spacing w:after="0"/>
        <w:outlineLvl w:val="0"/>
        <w:rPr>
          <w:rFonts w:ascii="Arial" w:hAnsi="Arial" w:cs="Arial"/>
          <w:b/>
          <w:bCs/>
          <w:color w:val="0070C0"/>
        </w:rPr>
      </w:pPr>
      <w:r w:rsidRPr="001D2ADB">
        <w:rPr>
          <w:rFonts w:ascii="Arial" w:hAnsi="Arial" w:cs="Arial"/>
          <w:b/>
          <w:bCs/>
          <w:color w:val="0070C0"/>
        </w:rPr>
        <w:t>EZETIMIBE</w:t>
      </w:r>
    </w:p>
    <w:p w14:paraId="2F255327" w14:textId="77777777" w:rsidR="00474DCD" w:rsidRPr="001D2ADB" w:rsidRDefault="00474DCD" w:rsidP="001D2ADB">
      <w:pPr>
        <w:spacing w:after="0"/>
        <w:rPr>
          <w:rFonts w:ascii="Arial" w:hAnsi="Arial" w:cs="Arial"/>
          <w:b/>
          <w:bCs/>
          <w:color w:val="0070C0"/>
        </w:rPr>
      </w:pPr>
    </w:p>
    <w:p w14:paraId="583D7513" w14:textId="3B484D1A" w:rsidR="00375B2B" w:rsidRPr="001D2ADB" w:rsidRDefault="006D59CC" w:rsidP="001D2ADB">
      <w:pPr>
        <w:spacing w:after="0"/>
        <w:rPr>
          <w:rFonts w:ascii="Arial" w:hAnsi="Arial" w:cs="Arial"/>
        </w:rPr>
      </w:pPr>
      <w:r w:rsidRPr="001D2ADB">
        <w:rPr>
          <w:rFonts w:ascii="Arial" w:hAnsi="Arial" w:cs="Arial"/>
        </w:rPr>
        <w:t>Ezetimibe</w:t>
      </w:r>
      <w:r w:rsidR="00432D06" w:rsidRPr="001D2ADB">
        <w:rPr>
          <w:rFonts w:ascii="Arial" w:hAnsi="Arial" w:cs="Arial"/>
        </w:rPr>
        <w:t xml:space="preserve"> is </w:t>
      </w:r>
      <w:r w:rsidR="00DE5791" w:rsidRPr="001D2ADB">
        <w:rPr>
          <w:rFonts w:ascii="Arial" w:hAnsi="Arial" w:cs="Arial"/>
        </w:rPr>
        <w:t xml:space="preserve">FDA </w:t>
      </w:r>
      <w:r w:rsidR="00432D06" w:rsidRPr="001D2ADB">
        <w:rPr>
          <w:rFonts w:ascii="Arial" w:hAnsi="Arial" w:cs="Arial"/>
        </w:rPr>
        <w:t>approved for adolescents 10 years of age and older with FH</w:t>
      </w:r>
      <w:r w:rsidR="00D85D9C" w:rsidRPr="001D2ADB">
        <w:rPr>
          <w:rFonts w:ascii="Arial" w:hAnsi="Arial" w:cs="Arial"/>
        </w:rPr>
        <w:t xml:space="preserve"> (</w:t>
      </w:r>
      <w:r w:rsidR="00F0157D" w:rsidRPr="001D2ADB">
        <w:rPr>
          <w:rFonts w:ascii="Arial" w:hAnsi="Arial" w:cs="Arial"/>
        </w:rPr>
        <w:t>53, 55</w:t>
      </w:r>
      <w:r w:rsidR="00D85D9C" w:rsidRPr="001D2ADB">
        <w:rPr>
          <w:rFonts w:ascii="Arial" w:hAnsi="Arial" w:cs="Arial"/>
        </w:rPr>
        <w:t>)</w:t>
      </w:r>
      <w:r w:rsidR="00432D06" w:rsidRPr="001D2ADB">
        <w:rPr>
          <w:rFonts w:ascii="Arial" w:hAnsi="Arial" w:cs="Arial"/>
        </w:rPr>
        <w:t xml:space="preserve">, </w:t>
      </w:r>
      <w:r w:rsidR="006459B7" w:rsidRPr="001D2ADB">
        <w:rPr>
          <w:rFonts w:ascii="Arial" w:hAnsi="Arial" w:cs="Arial"/>
        </w:rPr>
        <w:t xml:space="preserve">and </w:t>
      </w:r>
      <w:r w:rsidR="00432D06" w:rsidRPr="001D2ADB">
        <w:rPr>
          <w:rFonts w:ascii="Arial" w:hAnsi="Arial" w:cs="Arial"/>
        </w:rPr>
        <w:t xml:space="preserve">it presents a </w:t>
      </w:r>
      <w:r w:rsidR="00375B2B" w:rsidRPr="001D2ADB">
        <w:rPr>
          <w:rFonts w:ascii="Arial" w:hAnsi="Arial" w:cs="Arial"/>
        </w:rPr>
        <w:t>potential therapy option</w:t>
      </w:r>
      <w:r w:rsidR="002831E8" w:rsidRPr="001D2ADB">
        <w:rPr>
          <w:rFonts w:ascii="Arial" w:hAnsi="Arial" w:cs="Arial"/>
        </w:rPr>
        <w:t xml:space="preserve"> either as monotherapy or </w:t>
      </w:r>
      <w:r w:rsidR="00375B2B" w:rsidRPr="001D2ADB">
        <w:rPr>
          <w:rFonts w:ascii="Arial" w:hAnsi="Arial" w:cs="Arial"/>
        </w:rPr>
        <w:t>when synergistically paired with an HMG-CoA reductase inhibitor</w:t>
      </w:r>
      <w:r w:rsidR="00D85D9C" w:rsidRPr="001D2ADB">
        <w:rPr>
          <w:rFonts w:ascii="Arial" w:hAnsi="Arial" w:cs="Arial"/>
        </w:rPr>
        <w:t xml:space="preserve"> (5</w:t>
      </w:r>
      <w:r w:rsidR="00F0157D" w:rsidRPr="001D2ADB">
        <w:rPr>
          <w:rFonts w:ascii="Arial" w:hAnsi="Arial" w:cs="Arial"/>
        </w:rPr>
        <w:t>6</w:t>
      </w:r>
      <w:r w:rsidR="00D85D9C" w:rsidRPr="001D2ADB">
        <w:rPr>
          <w:rFonts w:ascii="Arial" w:hAnsi="Arial" w:cs="Arial"/>
        </w:rPr>
        <w:t>-5</w:t>
      </w:r>
      <w:r w:rsidR="00F0157D" w:rsidRPr="001D2ADB">
        <w:rPr>
          <w:rFonts w:ascii="Arial" w:hAnsi="Arial" w:cs="Arial"/>
        </w:rPr>
        <w:t>8</w:t>
      </w:r>
      <w:r w:rsidR="00D85D9C" w:rsidRPr="001D2ADB">
        <w:rPr>
          <w:rFonts w:ascii="Arial" w:hAnsi="Arial" w:cs="Arial"/>
        </w:rPr>
        <w:t>)</w:t>
      </w:r>
      <w:r w:rsidR="00375B2B" w:rsidRPr="001D2ADB">
        <w:rPr>
          <w:rFonts w:ascii="Arial" w:hAnsi="Arial" w:cs="Arial"/>
        </w:rPr>
        <w:t>.</w:t>
      </w:r>
      <w:r w:rsidR="006A6C95" w:rsidRPr="001D2ADB">
        <w:rPr>
          <w:rFonts w:ascii="Arial" w:hAnsi="Arial" w:cs="Arial"/>
        </w:rPr>
        <w:t xml:space="preserve"> Due</w:t>
      </w:r>
      <w:r w:rsidR="00524C0F" w:rsidRPr="001D2ADB">
        <w:rPr>
          <w:rFonts w:ascii="Arial" w:hAnsi="Arial" w:cs="Arial"/>
        </w:rPr>
        <w:t xml:space="preserve"> to its favorable</w:t>
      </w:r>
      <w:r w:rsidR="00E91701" w:rsidRPr="001D2ADB">
        <w:rPr>
          <w:rFonts w:ascii="Arial" w:hAnsi="Arial" w:cs="Arial"/>
        </w:rPr>
        <w:t xml:space="preserve"> tolerability, i</w:t>
      </w:r>
      <w:r w:rsidR="00524C0F" w:rsidRPr="001D2ADB">
        <w:rPr>
          <w:rFonts w:ascii="Arial" w:hAnsi="Arial" w:cs="Arial"/>
        </w:rPr>
        <w:t>t has become the most frequently used second-line agent</w:t>
      </w:r>
      <w:r w:rsidR="00F0157D" w:rsidRPr="001D2ADB">
        <w:rPr>
          <w:rFonts w:ascii="Arial" w:hAnsi="Arial" w:cs="Arial"/>
        </w:rPr>
        <w:t xml:space="preserve"> (59</w:t>
      </w:r>
      <w:r w:rsidR="00D85D9C" w:rsidRPr="001D2ADB">
        <w:rPr>
          <w:rFonts w:ascii="Arial" w:hAnsi="Arial" w:cs="Arial"/>
        </w:rPr>
        <w:t>)</w:t>
      </w:r>
      <w:r w:rsidR="00E91701" w:rsidRPr="001D2ADB">
        <w:rPr>
          <w:rFonts w:ascii="Arial" w:hAnsi="Arial" w:cs="Arial"/>
        </w:rPr>
        <w:t>.</w:t>
      </w:r>
      <w:r w:rsidR="00375B2B" w:rsidRPr="001D2ADB">
        <w:rPr>
          <w:rFonts w:ascii="Arial" w:hAnsi="Arial" w:cs="Arial"/>
        </w:rPr>
        <w:t xml:space="preserve"> </w:t>
      </w:r>
      <w:r w:rsidR="00761E21" w:rsidRPr="001D2ADB">
        <w:rPr>
          <w:rFonts w:ascii="Arial" w:hAnsi="Arial" w:cs="Arial"/>
        </w:rPr>
        <w:t xml:space="preserve">Table </w:t>
      </w:r>
      <w:r w:rsidR="00D74FCC" w:rsidRPr="001D2ADB">
        <w:rPr>
          <w:rFonts w:ascii="Arial" w:hAnsi="Arial" w:cs="Arial"/>
        </w:rPr>
        <w:t>9</w:t>
      </w:r>
      <w:r w:rsidR="00761E21" w:rsidRPr="001D2ADB">
        <w:rPr>
          <w:rFonts w:ascii="Arial" w:hAnsi="Arial" w:cs="Arial"/>
        </w:rPr>
        <w:t xml:space="preserve"> summarizes data on recommended dosing ranges and references supporting clinical trials</w:t>
      </w:r>
      <w:r w:rsidR="00C2043B" w:rsidRPr="001D2ADB">
        <w:rPr>
          <w:rFonts w:ascii="Arial" w:hAnsi="Arial" w:cs="Arial"/>
        </w:rPr>
        <w:t xml:space="preserve"> while Table 1</w:t>
      </w:r>
      <w:r w:rsidR="00D74FCC" w:rsidRPr="001D2ADB">
        <w:rPr>
          <w:rFonts w:ascii="Arial" w:hAnsi="Arial" w:cs="Arial"/>
        </w:rPr>
        <w:t>0</w:t>
      </w:r>
      <w:r w:rsidR="00C2043B" w:rsidRPr="001D2ADB">
        <w:rPr>
          <w:rFonts w:ascii="Arial" w:hAnsi="Arial" w:cs="Arial"/>
        </w:rPr>
        <w:t xml:space="preserve"> details efficacy of therapy</w:t>
      </w:r>
      <w:r w:rsidR="001324E0" w:rsidRPr="001D2ADB">
        <w:rPr>
          <w:rFonts w:ascii="Arial" w:hAnsi="Arial" w:cs="Arial"/>
        </w:rPr>
        <w:t>.</w:t>
      </w:r>
      <w:r w:rsidR="00761E21" w:rsidRPr="001D2ADB">
        <w:rPr>
          <w:rFonts w:ascii="Arial" w:hAnsi="Arial" w:cs="Arial"/>
        </w:rPr>
        <w:t xml:space="preserve">  </w:t>
      </w:r>
    </w:p>
    <w:p w14:paraId="5CD83FE8" w14:textId="279FBCA9" w:rsidR="00D74FCC" w:rsidRPr="001D2ADB" w:rsidRDefault="00802BA1" w:rsidP="001D2ADB">
      <w:pPr>
        <w:spacing w:after="0"/>
        <w:rPr>
          <w:rFonts w:ascii="Arial" w:hAnsi="Arial" w:cs="Arial"/>
        </w:rPr>
      </w:pPr>
      <w:r w:rsidRPr="001D2ADB">
        <w:rPr>
          <w:rFonts w:ascii="Arial" w:hAnsi="Arial" w:cs="Arial"/>
        </w:rPr>
        <w:t xml:space="preserve">Tolerability of ezetimibe </w:t>
      </w:r>
      <w:r w:rsidR="008C56AB" w:rsidRPr="001D2ADB">
        <w:rPr>
          <w:rFonts w:ascii="Arial" w:hAnsi="Arial" w:cs="Arial"/>
        </w:rPr>
        <w:t>was prospectively</w:t>
      </w:r>
      <w:r w:rsidR="00C96180" w:rsidRPr="001D2ADB">
        <w:rPr>
          <w:rFonts w:ascii="Arial" w:hAnsi="Arial" w:cs="Arial"/>
        </w:rPr>
        <w:t xml:space="preserve"> evaluated</w:t>
      </w:r>
      <w:r w:rsidRPr="001D2ADB">
        <w:rPr>
          <w:rFonts w:ascii="Arial" w:hAnsi="Arial" w:cs="Arial"/>
        </w:rPr>
        <w:t xml:space="preserve"> by </w:t>
      </w:r>
      <w:r w:rsidR="00760E69" w:rsidRPr="001D2ADB">
        <w:rPr>
          <w:rFonts w:ascii="Arial" w:hAnsi="Arial" w:cs="Arial"/>
        </w:rPr>
        <w:t xml:space="preserve">Yeste and colleagues </w:t>
      </w:r>
      <w:r w:rsidR="004579C3" w:rsidRPr="001D2ADB">
        <w:rPr>
          <w:rFonts w:ascii="Arial" w:hAnsi="Arial" w:cs="Arial"/>
        </w:rPr>
        <w:t>via a</w:t>
      </w:r>
      <w:r w:rsidR="00665839" w:rsidRPr="001D2ADB">
        <w:rPr>
          <w:rFonts w:ascii="Arial" w:hAnsi="Arial" w:cs="Arial"/>
        </w:rPr>
        <w:t xml:space="preserve"> combination of biochemical markers and adverse event reports</w:t>
      </w:r>
      <w:r w:rsidR="00D85D9C" w:rsidRPr="001D2ADB">
        <w:rPr>
          <w:rFonts w:ascii="Arial" w:hAnsi="Arial" w:cs="Arial"/>
        </w:rPr>
        <w:t xml:space="preserve"> (5</w:t>
      </w:r>
      <w:r w:rsidR="00F0157D" w:rsidRPr="001D2ADB">
        <w:rPr>
          <w:rFonts w:ascii="Arial" w:hAnsi="Arial" w:cs="Arial"/>
        </w:rPr>
        <w:t>6</w:t>
      </w:r>
      <w:r w:rsidR="00D85D9C" w:rsidRPr="001D2ADB">
        <w:rPr>
          <w:rFonts w:ascii="Arial" w:hAnsi="Arial" w:cs="Arial"/>
        </w:rPr>
        <w:t>)</w:t>
      </w:r>
      <w:r w:rsidRPr="001D2ADB">
        <w:rPr>
          <w:rFonts w:ascii="Arial" w:hAnsi="Arial" w:cs="Arial"/>
        </w:rPr>
        <w:t>.</w:t>
      </w:r>
      <w:r w:rsidR="006A6C95" w:rsidRPr="001D2ADB">
        <w:rPr>
          <w:rFonts w:ascii="Arial" w:hAnsi="Arial" w:cs="Arial"/>
        </w:rPr>
        <w:t xml:space="preserve"> No</w:t>
      </w:r>
      <w:r w:rsidR="00665839" w:rsidRPr="001D2ADB">
        <w:rPr>
          <w:rFonts w:ascii="Arial" w:hAnsi="Arial" w:cs="Arial"/>
        </w:rPr>
        <w:t xml:space="preserve"> change was seen in hemogram, transaminases, creatinine, calcium, phosphorus, and vitamins A and E for any of the 17 patients. Additionally, there were no reports of adverse events during the study period</w:t>
      </w:r>
      <w:r w:rsidR="00114155" w:rsidRPr="001D2ADB">
        <w:rPr>
          <w:rFonts w:ascii="Arial" w:hAnsi="Arial" w:cs="Arial"/>
        </w:rPr>
        <w:t xml:space="preserve">. </w:t>
      </w:r>
      <w:r w:rsidR="004A7E1E" w:rsidRPr="001D2ADB">
        <w:rPr>
          <w:rFonts w:ascii="Arial" w:hAnsi="Arial" w:cs="Arial"/>
        </w:rPr>
        <w:t>Clauss</w:t>
      </w:r>
      <w:r w:rsidR="00D60B76" w:rsidRPr="001D2ADB">
        <w:rPr>
          <w:rFonts w:ascii="Arial" w:hAnsi="Arial" w:cs="Arial"/>
        </w:rPr>
        <w:t xml:space="preserve"> and colleagues</w:t>
      </w:r>
      <w:r w:rsidR="00146E39" w:rsidRPr="001D2ADB">
        <w:rPr>
          <w:rFonts w:ascii="Arial" w:hAnsi="Arial" w:cs="Arial"/>
        </w:rPr>
        <w:t xml:space="preserve"> </w:t>
      </w:r>
      <w:r w:rsidRPr="001D2ADB">
        <w:rPr>
          <w:rFonts w:ascii="Arial" w:hAnsi="Arial" w:cs="Arial"/>
        </w:rPr>
        <w:t>retrospectively evaluated ezetimibe</w:t>
      </w:r>
      <w:r w:rsidR="001324E0" w:rsidRPr="001D2ADB">
        <w:rPr>
          <w:rFonts w:ascii="Arial" w:hAnsi="Arial" w:cs="Arial"/>
        </w:rPr>
        <w:t>;</w:t>
      </w:r>
      <w:r w:rsidRPr="001D2ADB">
        <w:rPr>
          <w:rFonts w:ascii="Arial" w:hAnsi="Arial" w:cs="Arial"/>
        </w:rPr>
        <w:t xml:space="preserve"> therefore</w:t>
      </w:r>
      <w:r w:rsidR="001324E0" w:rsidRPr="001D2ADB">
        <w:rPr>
          <w:rFonts w:ascii="Arial" w:hAnsi="Arial" w:cs="Arial"/>
        </w:rPr>
        <w:t>,</w:t>
      </w:r>
      <w:r w:rsidRPr="001D2ADB">
        <w:rPr>
          <w:rFonts w:ascii="Arial" w:hAnsi="Arial" w:cs="Arial"/>
        </w:rPr>
        <w:t xml:space="preserve"> </w:t>
      </w:r>
      <w:r w:rsidR="003D3366" w:rsidRPr="001D2ADB">
        <w:rPr>
          <w:rFonts w:ascii="Arial" w:hAnsi="Arial" w:cs="Arial"/>
        </w:rPr>
        <w:t>safety parameters were less defined, but included intermittent measurement of liver enzymes, occasional CK levels, and adverse event reports</w:t>
      </w:r>
      <w:r w:rsidR="00D85D9C" w:rsidRPr="001D2ADB">
        <w:rPr>
          <w:rFonts w:ascii="Arial" w:hAnsi="Arial" w:cs="Arial"/>
        </w:rPr>
        <w:t xml:space="preserve"> (5</w:t>
      </w:r>
      <w:r w:rsidR="00F0157D" w:rsidRPr="001D2ADB">
        <w:rPr>
          <w:rFonts w:ascii="Arial" w:hAnsi="Arial" w:cs="Arial"/>
        </w:rPr>
        <w:t>7</w:t>
      </w:r>
      <w:r w:rsidR="00D85D9C" w:rsidRPr="001D2ADB">
        <w:rPr>
          <w:rFonts w:ascii="Arial" w:hAnsi="Arial" w:cs="Arial"/>
        </w:rPr>
        <w:t>)</w:t>
      </w:r>
      <w:r w:rsidR="003D3366" w:rsidRPr="001D2ADB">
        <w:rPr>
          <w:rFonts w:ascii="Arial" w:hAnsi="Arial" w:cs="Arial"/>
        </w:rPr>
        <w:t>.</w:t>
      </w:r>
      <w:r w:rsidR="006A6C95" w:rsidRPr="001D2ADB">
        <w:rPr>
          <w:rFonts w:ascii="Arial" w:hAnsi="Arial" w:cs="Arial"/>
        </w:rPr>
        <w:t xml:space="preserve"> There</w:t>
      </w:r>
      <w:r w:rsidR="00E00233" w:rsidRPr="001D2ADB">
        <w:rPr>
          <w:rFonts w:ascii="Arial" w:hAnsi="Arial" w:cs="Arial"/>
        </w:rPr>
        <w:t xml:space="preserve"> were no reported abnormalities in liver enzymes for study participants. </w:t>
      </w:r>
      <w:r w:rsidR="003D3366" w:rsidRPr="001D2ADB">
        <w:rPr>
          <w:rFonts w:ascii="Arial" w:hAnsi="Arial" w:cs="Arial"/>
        </w:rPr>
        <w:t>Ultimately, one patient was discontinued from ezetimibe therapy for</w:t>
      </w:r>
      <w:r w:rsidR="00E00233" w:rsidRPr="001D2ADB">
        <w:rPr>
          <w:rFonts w:ascii="Arial" w:hAnsi="Arial" w:cs="Arial"/>
        </w:rPr>
        <w:t xml:space="preserve"> asymptomatic</w:t>
      </w:r>
      <w:r w:rsidR="003D3366" w:rsidRPr="001D2ADB">
        <w:rPr>
          <w:rFonts w:ascii="Arial" w:hAnsi="Arial" w:cs="Arial"/>
        </w:rPr>
        <w:t xml:space="preserve"> elevated CK levels, later determined to </w:t>
      </w:r>
      <w:r w:rsidR="00E00233" w:rsidRPr="001D2ADB">
        <w:rPr>
          <w:rFonts w:ascii="Arial" w:hAnsi="Arial" w:cs="Arial"/>
        </w:rPr>
        <w:t xml:space="preserve">be likely </w:t>
      </w:r>
      <w:r w:rsidR="003D3366" w:rsidRPr="001D2ADB">
        <w:rPr>
          <w:rFonts w:ascii="Arial" w:hAnsi="Arial" w:cs="Arial"/>
        </w:rPr>
        <w:t xml:space="preserve">unrelated to therapy. </w:t>
      </w:r>
    </w:p>
    <w:p w14:paraId="1DAD8AF1" w14:textId="77777777" w:rsidR="00D74FCC" w:rsidRPr="001D2ADB" w:rsidRDefault="00D74FCC" w:rsidP="001D2ADB">
      <w:pPr>
        <w:spacing w:after="0"/>
        <w:rPr>
          <w:rFonts w:ascii="Arial" w:hAnsi="Arial" w:cs="Arial"/>
        </w:rPr>
      </w:pPr>
    </w:p>
    <w:tbl>
      <w:tblPr>
        <w:tblStyle w:val="TableGrid"/>
        <w:tblW w:w="9085" w:type="dxa"/>
        <w:tblLook w:val="00A0" w:firstRow="1" w:lastRow="0" w:firstColumn="1" w:lastColumn="0" w:noHBand="0" w:noVBand="0"/>
      </w:tblPr>
      <w:tblGrid>
        <w:gridCol w:w="1366"/>
        <w:gridCol w:w="2719"/>
        <w:gridCol w:w="1504"/>
        <w:gridCol w:w="1353"/>
        <w:gridCol w:w="2143"/>
      </w:tblGrid>
      <w:tr w:rsidR="00D74FCC" w:rsidRPr="001D2ADB" w14:paraId="1CDB9C7F" w14:textId="77777777" w:rsidTr="00D85D9C">
        <w:trPr>
          <w:trHeight w:val="350"/>
        </w:trPr>
        <w:tc>
          <w:tcPr>
            <w:tcW w:w="9085" w:type="dxa"/>
            <w:gridSpan w:val="5"/>
            <w:shd w:val="clear" w:color="auto" w:fill="FFFF00"/>
          </w:tcPr>
          <w:p w14:paraId="60119059" w14:textId="5B0BFCC7" w:rsidR="00D74FCC" w:rsidRPr="001D2ADB" w:rsidRDefault="00D74FCC" w:rsidP="001D2ADB">
            <w:pPr>
              <w:spacing w:after="0"/>
              <w:rPr>
                <w:rFonts w:ascii="Arial" w:hAnsi="Arial" w:cs="Arial"/>
                <w:b/>
                <w:bCs/>
                <w:color w:val="000000"/>
              </w:rPr>
            </w:pPr>
            <w:r w:rsidRPr="001D2ADB">
              <w:rPr>
                <w:rFonts w:ascii="Arial" w:hAnsi="Arial" w:cs="Arial"/>
                <w:b/>
                <w:bCs/>
                <w:color w:val="000000"/>
              </w:rPr>
              <w:t>Table 9. Ezetimibe</w:t>
            </w:r>
          </w:p>
        </w:tc>
      </w:tr>
      <w:tr w:rsidR="00D74FCC" w:rsidRPr="001D2ADB" w14:paraId="38E8E6CC" w14:textId="77777777" w:rsidTr="00D85D9C">
        <w:trPr>
          <w:trHeight w:val="510"/>
        </w:trPr>
        <w:tc>
          <w:tcPr>
            <w:tcW w:w="1366" w:type="dxa"/>
          </w:tcPr>
          <w:p w14:paraId="300F78C6"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Medication</w:t>
            </w:r>
          </w:p>
        </w:tc>
        <w:tc>
          <w:tcPr>
            <w:tcW w:w="2719" w:type="dxa"/>
          </w:tcPr>
          <w:p w14:paraId="5C990617"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Pediatric Approvals &amp; Indications</w:t>
            </w:r>
          </w:p>
        </w:tc>
        <w:tc>
          <w:tcPr>
            <w:tcW w:w="1504" w:type="dxa"/>
          </w:tcPr>
          <w:p w14:paraId="758B891A"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Dosing</w:t>
            </w:r>
          </w:p>
        </w:tc>
        <w:tc>
          <w:tcPr>
            <w:tcW w:w="1353" w:type="dxa"/>
          </w:tcPr>
          <w:p w14:paraId="0517A81B"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Comments</w:t>
            </w:r>
          </w:p>
        </w:tc>
        <w:tc>
          <w:tcPr>
            <w:tcW w:w="2143" w:type="dxa"/>
          </w:tcPr>
          <w:p w14:paraId="7798B872"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Clinical Trials</w:t>
            </w:r>
          </w:p>
        </w:tc>
      </w:tr>
      <w:tr w:rsidR="00D74FCC" w:rsidRPr="001D2ADB" w14:paraId="16585A16" w14:textId="77777777" w:rsidTr="00D85D9C">
        <w:trPr>
          <w:trHeight w:val="899"/>
        </w:trPr>
        <w:tc>
          <w:tcPr>
            <w:tcW w:w="1366" w:type="dxa"/>
          </w:tcPr>
          <w:p w14:paraId="59EB03D6" w14:textId="77777777" w:rsidR="00D74FCC" w:rsidRPr="001D2ADB" w:rsidRDefault="00D74FCC" w:rsidP="001D2ADB">
            <w:pPr>
              <w:spacing w:after="0"/>
              <w:rPr>
                <w:rFonts w:ascii="Arial" w:hAnsi="Arial" w:cs="Arial"/>
                <w:b/>
                <w:bCs/>
                <w:color w:val="000000"/>
              </w:rPr>
            </w:pPr>
            <w:r w:rsidRPr="001D2ADB">
              <w:rPr>
                <w:rFonts w:ascii="Arial" w:hAnsi="Arial" w:cs="Arial"/>
                <w:b/>
                <w:bCs/>
                <w:color w:val="000000"/>
              </w:rPr>
              <w:t>Ezetimibe</w:t>
            </w:r>
          </w:p>
        </w:tc>
        <w:tc>
          <w:tcPr>
            <w:tcW w:w="2719" w:type="dxa"/>
          </w:tcPr>
          <w:p w14:paraId="27FF1FE1" w14:textId="77777777" w:rsidR="00D74FCC" w:rsidRPr="001D2ADB" w:rsidRDefault="00D74FCC" w:rsidP="001D2ADB">
            <w:pPr>
              <w:spacing w:after="0"/>
              <w:rPr>
                <w:rFonts w:ascii="Arial" w:hAnsi="Arial" w:cs="Arial"/>
                <w:color w:val="000000"/>
              </w:rPr>
            </w:pPr>
            <w:r w:rsidRPr="001D2ADB">
              <w:rPr>
                <w:rFonts w:ascii="Arial" w:hAnsi="Arial" w:cs="Arial"/>
                <w:color w:val="000000"/>
              </w:rPr>
              <w:t>Age ≥10</w:t>
            </w:r>
            <w:r w:rsidRPr="001D2ADB">
              <w:rPr>
                <w:rFonts w:ascii="Arial" w:hAnsi="Arial" w:cs="Arial"/>
                <w:color w:val="000000"/>
              </w:rPr>
              <w:br/>
              <w:t>Homozygous familial hypercholesterolemia</w:t>
            </w:r>
          </w:p>
        </w:tc>
        <w:tc>
          <w:tcPr>
            <w:tcW w:w="1504" w:type="dxa"/>
          </w:tcPr>
          <w:p w14:paraId="0176CD3D" w14:textId="77777777" w:rsidR="00D74FCC" w:rsidRPr="001D2ADB" w:rsidRDefault="00D74FCC" w:rsidP="001D2ADB">
            <w:pPr>
              <w:spacing w:after="0"/>
              <w:rPr>
                <w:rFonts w:ascii="Arial" w:hAnsi="Arial" w:cs="Arial"/>
                <w:color w:val="000000"/>
              </w:rPr>
            </w:pPr>
            <w:r w:rsidRPr="001D2ADB">
              <w:rPr>
                <w:rFonts w:ascii="Arial" w:hAnsi="Arial" w:cs="Arial"/>
                <w:color w:val="000000"/>
              </w:rPr>
              <w:t>10 mg/day</w:t>
            </w:r>
          </w:p>
        </w:tc>
        <w:tc>
          <w:tcPr>
            <w:tcW w:w="1353" w:type="dxa"/>
          </w:tcPr>
          <w:p w14:paraId="45AC501D" w14:textId="77777777" w:rsidR="00D74FCC" w:rsidRPr="001D2ADB" w:rsidRDefault="00D74FCC" w:rsidP="001D2ADB">
            <w:pPr>
              <w:spacing w:after="0"/>
              <w:rPr>
                <w:rFonts w:ascii="Arial" w:hAnsi="Arial" w:cs="Arial"/>
                <w:color w:val="000000"/>
              </w:rPr>
            </w:pPr>
            <w:r w:rsidRPr="001D2ADB">
              <w:rPr>
                <w:rFonts w:ascii="Arial" w:hAnsi="Arial" w:cs="Arial"/>
                <w:color w:val="000000"/>
              </w:rPr>
              <w:t>N/A</w:t>
            </w:r>
          </w:p>
        </w:tc>
        <w:tc>
          <w:tcPr>
            <w:tcW w:w="2143" w:type="dxa"/>
          </w:tcPr>
          <w:p w14:paraId="7E8A2FCA" w14:textId="752FB5C3" w:rsidR="00D74FCC" w:rsidRPr="001D2ADB" w:rsidRDefault="00D74FCC" w:rsidP="001D2ADB">
            <w:pPr>
              <w:spacing w:after="0"/>
              <w:rPr>
                <w:rFonts w:ascii="Arial" w:hAnsi="Arial" w:cs="Arial"/>
                <w:color w:val="000000"/>
                <w:vertAlign w:val="superscript"/>
              </w:rPr>
            </w:pPr>
            <w:r w:rsidRPr="001D2ADB">
              <w:rPr>
                <w:rFonts w:ascii="Arial" w:hAnsi="Arial" w:cs="Arial"/>
                <w:color w:val="000000"/>
              </w:rPr>
              <w:t>Yeste, et al</w:t>
            </w:r>
            <w:r w:rsidR="00D85D9C" w:rsidRPr="001D2ADB">
              <w:rPr>
                <w:rFonts w:ascii="Arial" w:hAnsi="Arial" w:cs="Arial"/>
                <w:color w:val="000000"/>
              </w:rPr>
              <w:t xml:space="preserve"> (5</w:t>
            </w:r>
            <w:r w:rsidR="00F0157D" w:rsidRPr="001D2ADB">
              <w:rPr>
                <w:rFonts w:ascii="Arial" w:hAnsi="Arial" w:cs="Arial"/>
                <w:color w:val="000000"/>
              </w:rPr>
              <w:t>6</w:t>
            </w:r>
            <w:r w:rsidR="00D85D9C" w:rsidRPr="001D2ADB">
              <w:rPr>
                <w:rFonts w:ascii="Arial" w:hAnsi="Arial" w:cs="Arial"/>
                <w:color w:val="000000"/>
              </w:rPr>
              <w:t>)</w:t>
            </w:r>
            <w:r w:rsidRPr="001D2ADB">
              <w:rPr>
                <w:rFonts w:ascii="Arial" w:hAnsi="Arial" w:cs="Arial"/>
                <w:color w:val="000000"/>
              </w:rPr>
              <w:br/>
              <w:t>Clauss, et al</w:t>
            </w:r>
            <w:r w:rsidR="00F0157D" w:rsidRPr="001D2ADB">
              <w:rPr>
                <w:rFonts w:ascii="Arial" w:hAnsi="Arial" w:cs="Arial"/>
                <w:color w:val="000000"/>
              </w:rPr>
              <w:t xml:space="preserve"> (57</w:t>
            </w:r>
            <w:r w:rsidR="00D85D9C" w:rsidRPr="001D2ADB">
              <w:rPr>
                <w:rFonts w:ascii="Arial" w:hAnsi="Arial" w:cs="Arial"/>
                <w:color w:val="000000"/>
              </w:rPr>
              <w:t>)</w:t>
            </w:r>
            <w:r w:rsidRPr="001D2ADB">
              <w:rPr>
                <w:rFonts w:ascii="Arial" w:hAnsi="Arial" w:cs="Arial"/>
                <w:color w:val="000000"/>
              </w:rPr>
              <w:br/>
              <w:t>van der Graaf, et al</w:t>
            </w:r>
            <w:r w:rsidR="00F0157D" w:rsidRPr="001D2ADB">
              <w:rPr>
                <w:rFonts w:ascii="Arial" w:hAnsi="Arial" w:cs="Arial"/>
                <w:color w:val="000000"/>
              </w:rPr>
              <w:t xml:space="preserve"> (58</w:t>
            </w:r>
            <w:r w:rsidR="00D85D9C" w:rsidRPr="001D2ADB">
              <w:rPr>
                <w:rFonts w:ascii="Arial" w:hAnsi="Arial" w:cs="Arial"/>
                <w:color w:val="000000"/>
              </w:rPr>
              <w:t>)</w:t>
            </w:r>
          </w:p>
        </w:tc>
      </w:tr>
    </w:tbl>
    <w:p w14:paraId="5684C1A7" w14:textId="5C702435" w:rsidR="00D74FCC" w:rsidRPr="001D2ADB" w:rsidRDefault="00D74FCC" w:rsidP="001D2ADB">
      <w:pPr>
        <w:spacing w:after="0"/>
        <w:rPr>
          <w:rFonts w:ascii="Arial" w:hAnsi="Arial" w:cs="Arial"/>
        </w:rPr>
      </w:pPr>
      <w:r w:rsidRPr="001D2ADB">
        <w:rPr>
          <w:rFonts w:ascii="Arial" w:hAnsi="Arial" w:cs="Arial"/>
        </w:rPr>
        <w:t>Abbreviations: mg=milligrams, N/A=not applicable</w:t>
      </w:r>
      <w:r w:rsidR="00C2798A">
        <w:rPr>
          <w:rFonts w:ascii="Arial" w:hAnsi="Arial" w:cs="Arial"/>
        </w:rPr>
        <w:t>.</w:t>
      </w:r>
    </w:p>
    <w:p w14:paraId="3E05FE55" w14:textId="77777777" w:rsidR="00D74FCC" w:rsidRPr="001D2ADB" w:rsidRDefault="00D74FCC" w:rsidP="001D2ADB">
      <w:pPr>
        <w:spacing w:after="0"/>
        <w:rPr>
          <w:rFonts w:ascii="Arial" w:hAnsi="Arial" w:cs="Arial"/>
        </w:rPr>
      </w:pPr>
    </w:p>
    <w:tbl>
      <w:tblPr>
        <w:tblStyle w:val="TableGrid"/>
        <w:tblW w:w="10570" w:type="dxa"/>
        <w:tblLook w:val="00A0" w:firstRow="1" w:lastRow="0" w:firstColumn="1" w:lastColumn="0" w:noHBand="0" w:noVBand="0"/>
      </w:tblPr>
      <w:tblGrid>
        <w:gridCol w:w="2150"/>
        <w:gridCol w:w="1999"/>
        <w:gridCol w:w="2211"/>
        <w:gridCol w:w="791"/>
        <w:gridCol w:w="13"/>
        <w:gridCol w:w="831"/>
        <w:gridCol w:w="915"/>
        <w:gridCol w:w="754"/>
        <w:gridCol w:w="906"/>
      </w:tblGrid>
      <w:tr w:rsidR="008466EB" w:rsidRPr="001D2ADB" w14:paraId="3454D6C6" w14:textId="77777777" w:rsidTr="00D85D9C">
        <w:trPr>
          <w:trHeight w:val="296"/>
        </w:trPr>
        <w:tc>
          <w:tcPr>
            <w:tcW w:w="10570" w:type="dxa"/>
            <w:gridSpan w:val="9"/>
            <w:shd w:val="clear" w:color="auto" w:fill="FFFF00"/>
          </w:tcPr>
          <w:p w14:paraId="5D9B929F" w14:textId="77777777" w:rsidR="008466EB" w:rsidRPr="001D2ADB" w:rsidRDefault="008466EB" w:rsidP="001D2ADB">
            <w:pPr>
              <w:spacing w:after="0"/>
              <w:rPr>
                <w:rFonts w:ascii="Arial" w:hAnsi="Arial" w:cs="Arial"/>
                <w:b/>
                <w:bCs/>
                <w:color w:val="000000"/>
              </w:rPr>
            </w:pPr>
            <w:r w:rsidRPr="001D2ADB">
              <w:rPr>
                <w:rFonts w:ascii="Arial" w:hAnsi="Arial" w:cs="Arial"/>
                <w:b/>
                <w:bCs/>
                <w:color w:val="000000"/>
              </w:rPr>
              <w:t>Table 10. Ezetimibe</w:t>
            </w:r>
          </w:p>
        </w:tc>
      </w:tr>
      <w:tr w:rsidR="008466EB" w:rsidRPr="001D2ADB" w14:paraId="1177BFBB" w14:textId="77777777" w:rsidTr="00D85D9C">
        <w:trPr>
          <w:trHeight w:val="341"/>
        </w:trPr>
        <w:tc>
          <w:tcPr>
            <w:tcW w:w="2173" w:type="dxa"/>
          </w:tcPr>
          <w:p w14:paraId="35C02AD2" w14:textId="77777777" w:rsidR="008466EB" w:rsidRPr="001D2ADB" w:rsidRDefault="008466EB" w:rsidP="001D2ADB">
            <w:pPr>
              <w:spacing w:after="0"/>
              <w:rPr>
                <w:rFonts w:ascii="Arial" w:hAnsi="Arial" w:cs="Arial"/>
                <w:b/>
                <w:bCs/>
                <w:color w:val="000000"/>
              </w:rPr>
            </w:pPr>
            <w:r w:rsidRPr="001D2ADB">
              <w:rPr>
                <w:rFonts w:ascii="Arial" w:hAnsi="Arial" w:cs="Arial"/>
                <w:b/>
                <w:bCs/>
                <w:color w:val="000000"/>
              </w:rPr>
              <w:t>Study</w:t>
            </w:r>
          </w:p>
        </w:tc>
        <w:tc>
          <w:tcPr>
            <w:tcW w:w="2011" w:type="dxa"/>
          </w:tcPr>
          <w:p w14:paraId="2837794E" w14:textId="77777777" w:rsidR="008466EB" w:rsidRPr="001D2ADB" w:rsidRDefault="008466EB" w:rsidP="001D2ADB">
            <w:pPr>
              <w:spacing w:after="0"/>
              <w:rPr>
                <w:rFonts w:ascii="Arial" w:hAnsi="Arial" w:cs="Arial"/>
                <w:b/>
                <w:bCs/>
                <w:color w:val="000000"/>
              </w:rPr>
            </w:pPr>
            <w:r w:rsidRPr="001D2ADB">
              <w:rPr>
                <w:rFonts w:ascii="Arial" w:hAnsi="Arial" w:cs="Arial"/>
                <w:b/>
                <w:bCs/>
                <w:color w:val="000000"/>
              </w:rPr>
              <w:t>Medication</w:t>
            </w:r>
          </w:p>
        </w:tc>
        <w:tc>
          <w:tcPr>
            <w:tcW w:w="2226" w:type="dxa"/>
          </w:tcPr>
          <w:p w14:paraId="733575F5" w14:textId="77777777" w:rsidR="008466EB" w:rsidRPr="001D2ADB" w:rsidRDefault="008466EB" w:rsidP="001D2ADB">
            <w:pPr>
              <w:spacing w:after="0"/>
              <w:rPr>
                <w:rFonts w:ascii="Arial" w:hAnsi="Arial" w:cs="Arial"/>
                <w:b/>
                <w:bCs/>
                <w:color w:val="000000"/>
              </w:rPr>
            </w:pPr>
            <w:r w:rsidRPr="001D2ADB">
              <w:rPr>
                <w:rFonts w:ascii="Arial" w:hAnsi="Arial" w:cs="Arial"/>
                <w:b/>
                <w:bCs/>
                <w:color w:val="000000"/>
              </w:rPr>
              <w:t>Dose</w:t>
            </w:r>
          </w:p>
        </w:tc>
        <w:tc>
          <w:tcPr>
            <w:tcW w:w="4160" w:type="dxa"/>
            <w:gridSpan w:val="6"/>
          </w:tcPr>
          <w:p w14:paraId="64FB22ED" w14:textId="77777777" w:rsidR="008466EB" w:rsidRPr="001D2ADB" w:rsidRDefault="008466EB" w:rsidP="001D2ADB">
            <w:pPr>
              <w:spacing w:after="0"/>
              <w:rPr>
                <w:rFonts w:ascii="Arial" w:hAnsi="Arial" w:cs="Arial"/>
                <w:b/>
                <w:bCs/>
                <w:color w:val="000000"/>
              </w:rPr>
            </w:pPr>
            <w:r w:rsidRPr="001D2ADB">
              <w:rPr>
                <w:rFonts w:ascii="Arial" w:hAnsi="Arial" w:cs="Arial"/>
                <w:b/>
                <w:bCs/>
                <w:color w:val="000000"/>
              </w:rPr>
              <w:t>Results</w:t>
            </w:r>
          </w:p>
        </w:tc>
      </w:tr>
      <w:tr w:rsidR="008466EB" w:rsidRPr="001D2ADB" w14:paraId="55B54D56" w14:textId="77777777" w:rsidTr="005F69B3">
        <w:trPr>
          <w:trHeight w:val="395"/>
        </w:trPr>
        <w:tc>
          <w:tcPr>
            <w:tcW w:w="2173" w:type="dxa"/>
            <w:vMerge w:val="restart"/>
          </w:tcPr>
          <w:p w14:paraId="3A033669" w14:textId="1FE48CF9" w:rsidR="008466EB" w:rsidRPr="001D2ADB" w:rsidRDefault="008466EB" w:rsidP="001D2ADB">
            <w:pPr>
              <w:spacing w:after="0"/>
              <w:rPr>
                <w:rFonts w:ascii="Arial" w:hAnsi="Arial" w:cs="Arial"/>
                <w:color w:val="000000"/>
              </w:rPr>
            </w:pPr>
            <w:r w:rsidRPr="001D2ADB">
              <w:rPr>
                <w:rFonts w:ascii="Arial" w:hAnsi="Arial" w:cs="Arial"/>
                <w:color w:val="000000"/>
              </w:rPr>
              <w:t>Yeste, et al</w:t>
            </w:r>
            <w:r w:rsidR="00F0157D" w:rsidRPr="001D2ADB">
              <w:rPr>
                <w:rFonts w:ascii="Arial" w:hAnsi="Arial" w:cs="Arial"/>
                <w:color w:val="000000"/>
              </w:rPr>
              <w:t xml:space="preserve"> (56</w:t>
            </w:r>
            <w:r w:rsidR="00D85D9C" w:rsidRPr="001D2ADB">
              <w:rPr>
                <w:rFonts w:ascii="Arial" w:hAnsi="Arial" w:cs="Arial"/>
                <w:color w:val="000000"/>
              </w:rPr>
              <w:t>)</w:t>
            </w:r>
          </w:p>
        </w:tc>
        <w:tc>
          <w:tcPr>
            <w:tcW w:w="2011" w:type="dxa"/>
            <w:vMerge w:val="restart"/>
          </w:tcPr>
          <w:p w14:paraId="284B2CF1" w14:textId="77777777" w:rsidR="008466EB" w:rsidRPr="001D2ADB" w:rsidRDefault="008466EB" w:rsidP="001D2ADB">
            <w:pPr>
              <w:spacing w:after="0"/>
              <w:rPr>
                <w:rFonts w:ascii="Arial" w:hAnsi="Arial" w:cs="Arial"/>
                <w:color w:val="000000"/>
              </w:rPr>
            </w:pPr>
            <w:r w:rsidRPr="001D2ADB">
              <w:rPr>
                <w:rFonts w:ascii="Arial" w:hAnsi="Arial" w:cs="Arial"/>
                <w:color w:val="000000"/>
              </w:rPr>
              <w:t>Ezetimibe</w:t>
            </w:r>
          </w:p>
        </w:tc>
        <w:tc>
          <w:tcPr>
            <w:tcW w:w="2226" w:type="dxa"/>
            <w:vMerge w:val="restart"/>
          </w:tcPr>
          <w:p w14:paraId="6707E860" w14:textId="77777777" w:rsidR="008466EB" w:rsidRPr="001D2ADB" w:rsidRDefault="008466EB" w:rsidP="001D2ADB">
            <w:pPr>
              <w:spacing w:after="0"/>
              <w:rPr>
                <w:rFonts w:ascii="Arial" w:hAnsi="Arial" w:cs="Arial"/>
                <w:color w:val="000000"/>
              </w:rPr>
            </w:pPr>
            <w:r w:rsidRPr="001D2ADB">
              <w:rPr>
                <w:rFonts w:ascii="Arial" w:hAnsi="Arial" w:cs="Arial"/>
                <w:color w:val="000000"/>
              </w:rPr>
              <w:t>10 mg/day</w:t>
            </w:r>
          </w:p>
        </w:tc>
        <w:tc>
          <w:tcPr>
            <w:tcW w:w="1575" w:type="dxa"/>
            <w:gridSpan w:val="3"/>
          </w:tcPr>
          <w:p w14:paraId="356A8803" w14:textId="77777777" w:rsidR="008466EB" w:rsidRPr="001D2ADB" w:rsidRDefault="008466EB" w:rsidP="001D2ADB">
            <w:pPr>
              <w:spacing w:after="0"/>
              <w:rPr>
                <w:rFonts w:ascii="Arial" w:hAnsi="Arial" w:cs="Arial"/>
                <w:color w:val="000000"/>
              </w:rPr>
            </w:pPr>
            <w:r w:rsidRPr="001D2ADB">
              <w:rPr>
                <w:rFonts w:ascii="Arial" w:hAnsi="Arial" w:cs="Arial"/>
                <w:color w:val="000000"/>
              </w:rPr>
              <w:t xml:space="preserve">            LDL-C</w:t>
            </w:r>
          </w:p>
        </w:tc>
        <w:tc>
          <w:tcPr>
            <w:tcW w:w="918" w:type="dxa"/>
          </w:tcPr>
          <w:p w14:paraId="52F0AC76" w14:textId="77777777" w:rsidR="008466EB" w:rsidRPr="001D2ADB" w:rsidRDefault="008466EB" w:rsidP="001D2ADB">
            <w:pPr>
              <w:spacing w:after="0"/>
              <w:rPr>
                <w:rFonts w:ascii="Arial" w:hAnsi="Arial" w:cs="Arial"/>
                <w:color w:val="000000"/>
              </w:rPr>
            </w:pPr>
            <w:r w:rsidRPr="001D2ADB">
              <w:rPr>
                <w:rFonts w:ascii="Arial" w:hAnsi="Arial" w:cs="Arial"/>
                <w:color w:val="000000"/>
              </w:rPr>
              <w:t>HDL-C</w:t>
            </w:r>
          </w:p>
        </w:tc>
        <w:tc>
          <w:tcPr>
            <w:tcW w:w="756" w:type="dxa"/>
          </w:tcPr>
          <w:p w14:paraId="76150EBE" w14:textId="77777777" w:rsidR="008466EB" w:rsidRPr="001D2ADB" w:rsidRDefault="008466EB" w:rsidP="001D2ADB">
            <w:pPr>
              <w:spacing w:after="0"/>
              <w:rPr>
                <w:rFonts w:ascii="Arial" w:hAnsi="Arial" w:cs="Arial"/>
                <w:color w:val="000000"/>
              </w:rPr>
            </w:pPr>
            <w:r w:rsidRPr="001D2ADB">
              <w:rPr>
                <w:rFonts w:ascii="Arial" w:hAnsi="Arial" w:cs="Arial"/>
                <w:color w:val="000000"/>
              </w:rPr>
              <w:t>TC</w:t>
            </w:r>
          </w:p>
        </w:tc>
        <w:tc>
          <w:tcPr>
            <w:tcW w:w="911" w:type="dxa"/>
          </w:tcPr>
          <w:p w14:paraId="20E39419" w14:textId="77777777" w:rsidR="008466EB" w:rsidRPr="001D2ADB" w:rsidRDefault="008466EB" w:rsidP="001D2ADB">
            <w:pPr>
              <w:spacing w:after="0"/>
              <w:rPr>
                <w:rFonts w:ascii="Arial" w:hAnsi="Arial" w:cs="Arial"/>
                <w:color w:val="000000"/>
              </w:rPr>
            </w:pPr>
            <w:r w:rsidRPr="001D2ADB">
              <w:rPr>
                <w:rFonts w:ascii="Arial" w:hAnsi="Arial" w:cs="Arial"/>
                <w:color w:val="000000"/>
              </w:rPr>
              <w:t>TG</w:t>
            </w:r>
          </w:p>
        </w:tc>
      </w:tr>
      <w:tr w:rsidR="008466EB" w:rsidRPr="001D2ADB" w14:paraId="4F66B106" w14:textId="77777777" w:rsidTr="005F69B3">
        <w:trPr>
          <w:trHeight w:val="350"/>
        </w:trPr>
        <w:tc>
          <w:tcPr>
            <w:tcW w:w="2173" w:type="dxa"/>
            <w:vMerge/>
          </w:tcPr>
          <w:p w14:paraId="2764B64F" w14:textId="77777777" w:rsidR="008466EB" w:rsidRPr="001D2ADB" w:rsidRDefault="008466EB" w:rsidP="001D2ADB">
            <w:pPr>
              <w:spacing w:after="0"/>
              <w:rPr>
                <w:rFonts w:ascii="Arial" w:hAnsi="Arial" w:cs="Arial"/>
                <w:color w:val="000000"/>
              </w:rPr>
            </w:pPr>
          </w:p>
        </w:tc>
        <w:tc>
          <w:tcPr>
            <w:tcW w:w="2011" w:type="dxa"/>
            <w:vMerge/>
          </w:tcPr>
          <w:p w14:paraId="5DB2B4E9" w14:textId="77777777" w:rsidR="008466EB" w:rsidRPr="001D2ADB" w:rsidRDefault="008466EB" w:rsidP="001D2ADB">
            <w:pPr>
              <w:spacing w:after="0"/>
              <w:rPr>
                <w:rFonts w:ascii="Arial" w:hAnsi="Arial" w:cs="Arial"/>
                <w:color w:val="000000"/>
              </w:rPr>
            </w:pPr>
          </w:p>
        </w:tc>
        <w:tc>
          <w:tcPr>
            <w:tcW w:w="2226" w:type="dxa"/>
            <w:vMerge/>
          </w:tcPr>
          <w:p w14:paraId="2BD34209" w14:textId="77777777" w:rsidR="008466EB" w:rsidRPr="001D2ADB" w:rsidRDefault="008466EB" w:rsidP="001D2ADB">
            <w:pPr>
              <w:spacing w:after="0"/>
              <w:rPr>
                <w:rFonts w:ascii="Arial" w:hAnsi="Arial" w:cs="Arial"/>
                <w:color w:val="000000"/>
              </w:rPr>
            </w:pPr>
          </w:p>
        </w:tc>
        <w:tc>
          <w:tcPr>
            <w:tcW w:w="741" w:type="dxa"/>
            <w:gridSpan w:val="2"/>
          </w:tcPr>
          <w:p w14:paraId="6299229E" w14:textId="77777777" w:rsidR="008466EB" w:rsidRPr="001D2ADB" w:rsidRDefault="008466EB" w:rsidP="001D2ADB">
            <w:pPr>
              <w:spacing w:after="0"/>
              <w:rPr>
                <w:rFonts w:ascii="Arial" w:hAnsi="Arial" w:cs="Arial"/>
                <w:color w:val="000000"/>
              </w:rPr>
            </w:pPr>
            <w:r w:rsidRPr="001D2ADB">
              <w:rPr>
                <w:rFonts w:ascii="Arial" w:hAnsi="Arial" w:cs="Arial"/>
                <w:color w:val="000000"/>
              </w:rPr>
              <w:t>PH</w:t>
            </w:r>
          </w:p>
        </w:tc>
        <w:tc>
          <w:tcPr>
            <w:tcW w:w="834" w:type="dxa"/>
          </w:tcPr>
          <w:p w14:paraId="27D1EEF3" w14:textId="77777777" w:rsidR="008466EB" w:rsidRPr="001D2ADB" w:rsidRDefault="008466EB" w:rsidP="001D2ADB">
            <w:pPr>
              <w:spacing w:after="0"/>
              <w:rPr>
                <w:rFonts w:ascii="Arial" w:hAnsi="Arial" w:cs="Arial"/>
                <w:color w:val="000000"/>
              </w:rPr>
            </w:pPr>
            <w:r w:rsidRPr="001D2ADB">
              <w:rPr>
                <w:rFonts w:ascii="Arial" w:hAnsi="Arial" w:cs="Arial"/>
                <w:color w:val="000000"/>
              </w:rPr>
              <w:t>-42%</w:t>
            </w:r>
          </w:p>
        </w:tc>
        <w:tc>
          <w:tcPr>
            <w:tcW w:w="918" w:type="dxa"/>
          </w:tcPr>
          <w:p w14:paraId="3BC8BB2A" w14:textId="77777777" w:rsidR="008466EB" w:rsidRPr="001D2ADB" w:rsidRDefault="008466EB" w:rsidP="001D2ADB">
            <w:pPr>
              <w:spacing w:after="0"/>
              <w:rPr>
                <w:rFonts w:ascii="Arial" w:hAnsi="Arial" w:cs="Arial"/>
                <w:color w:val="000000"/>
              </w:rPr>
            </w:pPr>
            <w:r w:rsidRPr="001D2ADB">
              <w:rPr>
                <w:rFonts w:ascii="Arial" w:hAnsi="Arial" w:cs="Arial"/>
                <w:color w:val="000000"/>
              </w:rPr>
              <w:t>N/A</w:t>
            </w:r>
          </w:p>
        </w:tc>
        <w:tc>
          <w:tcPr>
            <w:tcW w:w="756" w:type="dxa"/>
          </w:tcPr>
          <w:p w14:paraId="1EC120C3" w14:textId="77777777" w:rsidR="008466EB" w:rsidRPr="001D2ADB" w:rsidRDefault="008466EB" w:rsidP="001D2ADB">
            <w:pPr>
              <w:spacing w:after="0"/>
              <w:rPr>
                <w:rFonts w:ascii="Arial" w:hAnsi="Arial" w:cs="Arial"/>
                <w:color w:val="000000"/>
              </w:rPr>
            </w:pPr>
            <w:r w:rsidRPr="001D2ADB">
              <w:rPr>
                <w:rFonts w:ascii="Arial" w:hAnsi="Arial" w:cs="Arial"/>
                <w:color w:val="000000"/>
              </w:rPr>
              <w:t>-31%</w:t>
            </w:r>
          </w:p>
        </w:tc>
        <w:tc>
          <w:tcPr>
            <w:tcW w:w="911" w:type="dxa"/>
          </w:tcPr>
          <w:p w14:paraId="72129EE5" w14:textId="77777777" w:rsidR="008466EB" w:rsidRPr="001D2ADB" w:rsidRDefault="008466EB" w:rsidP="001D2ADB">
            <w:pPr>
              <w:spacing w:after="0"/>
              <w:rPr>
                <w:rFonts w:ascii="Arial" w:hAnsi="Arial" w:cs="Arial"/>
                <w:color w:val="000000"/>
              </w:rPr>
            </w:pPr>
            <w:r w:rsidRPr="001D2ADB">
              <w:rPr>
                <w:rFonts w:ascii="Arial" w:hAnsi="Arial" w:cs="Arial"/>
                <w:color w:val="000000"/>
              </w:rPr>
              <w:t>N/A</w:t>
            </w:r>
          </w:p>
        </w:tc>
      </w:tr>
      <w:tr w:rsidR="008466EB" w:rsidRPr="001D2ADB" w14:paraId="22FFC02E" w14:textId="77777777" w:rsidTr="005F69B3">
        <w:trPr>
          <w:trHeight w:val="350"/>
        </w:trPr>
        <w:tc>
          <w:tcPr>
            <w:tcW w:w="2173" w:type="dxa"/>
            <w:vMerge/>
          </w:tcPr>
          <w:p w14:paraId="31A21A82" w14:textId="77777777" w:rsidR="008466EB" w:rsidRPr="001D2ADB" w:rsidRDefault="008466EB" w:rsidP="001D2ADB">
            <w:pPr>
              <w:spacing w:after="0"/>
              <w:rPr>
                <w:rFonts w:ascii="Arial" w:hAnsi="Arial" w:cs="Arial"/>
                <w:color w:val="000000"/>
              </w:rPr>
            </w:pPr>
          </w:p>
        </w:tc>
        <w:tc>
          <w:tcPr>
            <w:tcW w:w="2011" w:type="dxa"/>
            <w:vMerge/>
          </w:tcPr>
          <w:p w14:paraId="32DFB336" w14:textId="77777777" w:rsidR="008466EB" w:rsidRPr="001D2ADB" w:rsidRDefault="008466EB" w:rsidP="001D2ADB">
            <w:pPr>
              <w:spacing w:after="0"/>
              <w:rPr>
                <w:rFonts w:ascii="Arial" w:hAnsi="Arial" w:cs="Arial"/>
                <w:color w:val="000000"/>
              </w:rPr>
            </w:pPr>
          </w:p>
        </w:tc>
        <w:tc>
          <w:tcPr>
            <w:tcW w:w="2226" w:type="dxa"/>
            <w:vMerge/>
          </w:tcPr>
          <w:p w14:paraId="4AEAEB1E" w14:textId="77777777" w:rsidR="008466EB" w:rsidRPr="001D2ADB" w:rsidRDefault="008466EB" w:rsidP="001D2ADB">
            <w:pPr>
              <w:spacing w:after="0"/>
              <w:rPr>
                <w:rFonts w:ascii="Arial" w:hAnsi="Arial" w:cs="Arial"/>
                <w:color w:val="000000"/>
              </w:rPr>
            </w:pPr>
          </w:p>
        </w:tc>
        <w:tc>
          <w:tcPr>
            <w:tcW w:w="741" w:type="dxa"/>
            <w:gridSpan w:val="2"/>
          </w:tcPr>
          <w:p w14:paraId="314AC932" w14:textId="77777777" w:rsidR="008466EB" w:rsidRPr="001D2ADB" w:rsidRDefault="008466EB" w:rsidP="001D2ADB">
            <w:pPr>
              <w:spacing w:after="0"/>
              <w:rPr>
                <w:rFonts w:ascii="Arial" w:hAnsi="Arial" w:cs="Arial"/>
                <w:color w:val="000000"/>
              </w:rPr>
            </w:pPr>
            <w:r w:rsidRPr="001D2ADB">
              <w:rPr>
                <w:rFonts w:ascii="Arial" w:hAnsi="Arial" w:cs="Arial"/>
                <w:color w:val="000000"/>
              </w:rPr>
              <w:t>FH</w:t>
            </w:r>
          </w:p>
        </w:tc>
        <w:tc>
          <w:tcPr>
            <w:tcW w:w="834" w:type="dxa"/>
          </w:tcPr>
          <w:p w14:paraId="1D156134" w14:textId="77777777" w:rsidR="008466EB" w:rsidRPr="001D2ADB" w:rsidRDefault="008466EB" w:rsidP="001D2ADB">
            <w:pPr>
              <w:spacing w:after="0"/>
              <w:rPr>
                <w:rFonts w:ascii="Arial" w:hAnsi="Arial" w:cs="Arial"/>
                <w:color w:val="000000"/>
              </w:rPr>
            </w:pPr>
            <w:r w:rsidRPr="001D2ADB">
              <w:rPr>
                <w:rFonts w:ascii="Arial" w:hAnsi="Arial" w:cs="Arial"/>
                <w:color w:val="000000"/>
              </w:rPr>
              <w:t>-30%</w:t>
            </w:r>
          </w:p>
        </w:tc>
        <w:tc>
          <w:tcPr>
            <w:tcW w:w="918" w:type="dxa"/>
          </w:tcPr>
          <w:p w14:paraId="583EB9CB" w14:textId="77777777" w:rsidR="008466EB" w:rsidRPr="001D2ADB" w:rsidRDefault="008466EB" w:rsidP="001D2ADB">
            <w:pPr>
              <w:spacing w:after="0"/>
              <w:rPr>
                <w:rFonts w:ascii="Arial" w:hAnsi="Arial" w:cs="Arial"/>
                <w:color w:val="000000"/>
              </w:rPr>
            </w:pPr>
            <w:r w:rsidRPr="001D2ADB">
              <w:rPr>
                <w:rFonts w:ascii="Arial" w:hAnsi="Arial" w:cs="Arial"/>
                <w:color w:val="000000"/>
              </w:rPr>
              <w:t>-15%</w:t>
            </w:r>
          </w:p>
        </w:tc>
        <w:tc>
          <w:tcPr>
            <w:tcW w:w="756" w:type="dxa"/>
          </w:tcPr>
          <w:p w14:paraId="796A7988" w14:textId="77777777" w:rsidR="008466EB" w:rsidRPr="001D2ADB" w:rsidRDefault="008466EB" w:rsidP="001D2ADB">
            <w:pPr>
              <w:spacing w:after="0"/>
              <w:rPr>
                <w:rFonts w:ascii="Arial" w:hAnsi="Arial" w:cs="Arial"/>
                <w:color w:val="000000"/>
              </w:rPr>
            </w:pPr>
            <w:r w:rsidRPr="001D2ADB">
              <w:rPr>
                <w:rFonts w:ascii="Arial" w:hAnsi="Arial" w:cs="Arial"/>
                <w:color w:val="000000"/>
              </w:rPr>
              <w:t>-26%</w:t>
            </w:r>
          </w:p>
        </w:tc>
        <w:tc>
          <w:tcPr>
            <w:tcW w:w="911" w:type="dxa"/>
          </w:tcPr>
          <w:p w14:paraId="04C55FFB" w14:textId="77777777" w:rsidR="008466EB" w:rsidRPr="001D2ADB" w:rsidRDefault="008466EB" w:rsidP="001D2ADB">
            <w:pPr>
              <w:spacing w:after="0"/>
              <w:rPr>
                <w:rFonts w:ascii="Arial" w:hAnsi="Arial" w:cs="Arial"/>
                <w:color w:val="000000"/>
              </w:rPr>
            </w:pPr>
            <w:r w:rsidRPr="001D2ADB">
              <w:rPr>
                <w:rFonts w:ascii="Arial" w:hAnsi="Arial" w:cs="Arial"/>
                <w:color w:val="000000"/>
              </w:rPr>
              <w:t>N/A</w:t>
            </w:r>
          </w:p>
        </w:tc>
      </w:tr>
      <w:tr w:rsidR="008466EB" w:rsidRPr="001D2ADB" w14:paraId="19ED1647" w14:textId="77777777" w:rsidTr="005F69B3">
        <w:trPr>
          <w:trHeight w:val="395"/>
        </w:trPr>
        <w:tc>
          <w:tcPr>
            <w:tcW w:w="2173" w:type="dxa"/>
            <w:vMerge w:val="restart"/>
          </w:tcPr>
          <w:p w14:paraId="487C6DB1" w14:textId="22344128" w:rsidR="008466EB" w:rsidRPr="001D2ADB" w:rsidRDefault="008466EB" w:rsidP="001D2ADB">
            <w:pPr>
              <w:spacing w:after="0"/>
              <w:rPr>
                <w:rFonts w:ascii="Arial" w:hAnsi="Arial" w:cs="Arial"/>
                <w:color w:val="000000"/>
                <w:vertAlign w:val="superscript"/>
              </w:rPr>
            </w:pPr>
            <w:r w:rsidRPr="001D2ADB">
              <w:rPr>
                <w:rFonts w:ascii="Arial" w:hAnsi="Arial" w:cs="Arial"/>
                <w:color w:val="000000"/>
              </w:rPr>
              <w:t>Clauss, et al</w:t>
            </w:r>
            <w:r w:rsidR="00D85D9C" w:rsidRPr="001D2ADB">
              <w:rPr>
                <w:rFonts w:ascii="Arial" w:hAnsi="Arial" w:cs="Arial"/>
                <w:color w:val="000000"/>
              </w:rPr>
              <w:t xml:space="preserve"> (5</w:t>
            </w:r>
            <w:r w:rsidR="00F0157D" w:rsidRPr="001D2ADB">
              <w:rPr>
                <w:rFonts w:ascii="Arial" w:hAnsi="Arial" w:cs="Arial"/>
                <w:color w:val="000000"/>
              </w:rPr>
              <w:t>7</w:t>
            </w:r>
            <w:r w:rsidR="00D85D9C" w:rsidRPr="001D2ADB">
              <w:rPr>
                <w:rFonts w:ascii="Arial" w:hAnsi="Arial" w:cs="Arial"/>
                <w:color w:val="000000"/>
              </w:rPr>
              <w:t>)</w:t>
            </w:r>
          </w:p>
        </w:tc>
        <w:tc>
          <w:tcPr>
            <w:tcW w:w="2011" w:type="dxa"/>
            <w:vMerge w:val="restart"/>
          </w:tcPr>
          <w:p w14:paraId="6888F5FE" w14:textId="77777777" w:rsidR="008466EB" w:rsidRPr="001D2ADB" w:rsidRDefault="008466EB" w:rsidP="001D2ADB">
            <w:pPr>
              <w:spacing w:after="0"/>
              <w:rPr>
                <w:rFonts w:ascii="Arial" w:hAnsi="Arial" w:cs="Arial"/>
                <w:color w:val="000000"/>
              </w:rPr>
            </w:pPr>
            <w:r w:rsidRPr="001D2ADB">
              <w:rPr>
                <w:rFonts w:ascii="Arial" w:hAnsi="Arial" w:cs="Arial"/>
                <w:color w:val="000000"/>
              </w:rPr>
              <w:t>Ezetimibe</w:t>
            </w:r>
          </w:p>
        </w:tc>
        <w:tc>
          <w:tcPr>
            <w:tcW w:w="2226" w:type="dxa"/>
            <w:vMerge w:val="restart"/>
          </w:tcPr>
          <w:p w14:paraId="6951F12E" w14:textId="77777777" w:rsidR="008466EB" w:rsidRPr="001D2ADB" w:rsidRDefault="008466EB" w:rsidP="001D2ADB">
            <w:pPr>
              <w:spacing w:after="0"/>
              <w:rPr>
                <w:rFonts w:ascii="Arial" w:hAnsi="Arial" w:cs="Arial"/>
                <w:color w:val="000000"/>
              </w:rPr>
            </w:pPr>
            <w:r w:rsidRPr="001D2ADB">
              <w:rPr>
                <w:rFonts w:ascii="Arial" w:hAnsi="Arial" w:cs="Arial"/>
                <w:color w:val="000000"/>
              </w:rPr>
              <w:t>10 mg/day</w:t>
            </w:r>
          </w:p>
        </w:tc>
        <w:tc>
          <w:tcPr>
            <w:tcW w:w="1575" w:type="dxa"/>
            <w:gridSpan w:val="3"/>
          </w:tcPr>
          <w:p w14:paraId="079E5EBC" w14:textId="77777777" w:rsidR="008466EB" w:rsidRPr="001D2ADB" w:rsidRDefault="008466EB" w:rsidP="001D2ADB">
            <w:pPr>
              <w:spacing w:after="0"/>
              <w:rPr>
                <w:rFonts w:ascii="Arial" w:hAnsi="Arial" w:cs="Arial"/>
                <w:color w:val="000000"/>
              </w:rPr>
            </w:pPr>
            <w:r w:rsidRPr="001D2ADB">
              <w:rPr>
                <w:rFonts w:ascii="Arial" w:hAnsi="Arial" w:cs="Arial"/>
                <w:color w:val="000000"/>
              </w:rPr>
              <w:t xml:space="preserve">            LDL-C</w:t>
            </w:r>
          </w:p>
        </w:tc>
        <w:tc>
          <w:tcPr>
            <w:tcW w:w="918" w:type="dxa"/>
          </w:tcPr>
          <w:p w14:paraId="61A510C9" w14:textId="77777777" w:rsidR="008466EB" w:rsidRPr="001D2ADB" w:rsidRDefault="008466EB" w:rsidP="001D2ADB">
            <w:pPr>
              <w:spacing w:after="0"/>
              <w:rPr>
                <w:rFonts w:ascii="Arial" w:hAnsi="Arial" w:cs="Arial"/>
                <w:color w:val="000000"/>
              </w:rPr>
            </w:pPr>
            <w:r w:rsidRPr="001D2ADB">
              <w:rPr>
                <w:rFonts w:ascii="Arial" w:hAnsi="Arial" w:cs="Arial"/>
                <w:color w:val="000000"/>
              </w:rPr>
              <w:t>HDL-C</w:t>
            </w:r>
          </w:p>
        </w:tc>
        <w:tc>
          <w:tcPr>
            <w:tcW w:w="756" w:type="dxa"/>
          </w:tcPr>
          <w:p w14:paraId="1481DB98" w14:textId="77777777" w:rsidR="008466EB" w:rsidRPr="001D2ADB" w:rsidRDefault="008466EB" w:rsidP="001D2ADB">
            <w:pPr>
              <w:spacing w:after="0"/>
              <w:rPr>
                <w:rFonts w:ascii="Arial" w:hAnsi="Arial" w:cs="Arial"/>
                <w:color w:val="000000"/>
              </w:rPr>
            </w:pPr>
            <w:r w:rsidRPr="001D2ADB">
              <w:rPr>
                <w:rFonts w:ascii="Arial" w:hAnsi="Arial" w:cs="Arial"/>
                <w:color w:val="000000"/>
              </w:rPr>
              <w:t>TC</w:t>
            </w:r>
          </w:p>
        </w:tc>
        <w:tc>
          <w:tcPr>
            <w:tcW w:w="911" w:type="dxa"/>
          </w:tcPr>
          <w:p w14:paraId="54D21143" w14:textId="77777777" w:rsidR="008466EB" w:rsidRPr="001D2ADB" w:rsidRDefault="008466EB" w:rsidP="001D2ADB">
            <w:pPr>
              <w:spacing w:after="0"/>
              <w:rPr>
                <w:rFonts w:ascii="Arial" w:hAnsi="Arial" w:cs="Arial"/>
                <w:color w:val="000000"/>
              </w:rPr>
            </w:pPr>
            <w:r w:rsidRPr="001D2ADB">
              <w:rPr>
                <w:rFonts w:ascii="Arial" w:hAnsi="Arial" w:cs="Arial"/>
                <w:color w:val="000000"/>
              </w:rPr>
              <w:t>TG</w:t>
            </w:r>
          </w:p>
        </w:tc>
      </w:tr>
      <w:tr w:rsidR="008466EB" w:rsidRPr="001D2ADB" w14:paraId="0387F8E0" w14:textId="77777777" w:rsidTr="005F69B3">
        <w:trPr>
          <w:trHeight w:val="395"/>
        </w:trPr>
        <w:tc>
          <w:tcPr>
            <w:tcW w:w="2173" w:type="dxa"/>
            <w:vMerge/>
          </w:tcPr>
          <w:p w14:paraId="377C5A97" w14:textId="77777777" w:rsidR="008466EB" w:rsidRPr="001D2ADB" w:rsidRDefault="008466EB" w:rsidP="001D2ADB">
            <w:pPr>
              <w:spacing w:after="0"/>
              <w:rPr>
                <w:rFonts w:ascii="Arial" w:hAnsi="Arial" w:cs="Arial"/>
                <w:color w:val="000000"/>
              </w:rPr>
            </w:pPr>
          </w:p>
        </w:tc>
        <w:tc>
          <w:tcPr>
            <w:tcW w:w="2011" w:type="dxa"/>
            <w:vMerge/>
          </w:tcPr>
          <w:p w14:paraId="38AC208F" w14:textId="77777777" w:rsidR="008466EB" w:rsidRPr="001D2ADB" w:rsidRDefault="008466EB" w:rsidP="001D2ADB">
            <w:pPr>
              <w:spacing w:after="0"/>
              <w:rPr>
                <w:rFonts w:ascii="Arial" w:hAnsi="Arial" w:cs="Arial"/>
                <w:color w:val="000000"/>
              </w:rPr>
            </w:pPr>
          </w:p>
        </w:tc>
        <w:tc>
          <w:tcPr>
            <w:tcW w:w="2226" w:type="dxa"/>
            <w:vMerge/>
          </w:tcPr>
          <w:p w14:paraId="3E69CF4A" w14:textId="77777777" w:rsidR="008466EB" w:rsidRPr="001D2ADB" w:rsidRDefault="008466EB" w:rsidP="001D2ADB">
            <w:pPr>
              <w:spacing w:after="0"/>
              <w:rPr>
                <w:rFonts w:ascii="Arial" w:hAnsi="Arial" w:cs="Arial"/>
                <w:color w:val="000000"/>
              </w:rPr>
            </w:pPr>
          </w:p>
        </w:tc>
        <w:tc>
          <w:tcPr>
            <w:tcW w:w="728" w:type="dxa"/>
          </w:tcPr>
          <w:p w14:paraId="7C420C57" w14:textId="77777777" w:rsidR="008466EB" w:rsidRPr="001D2ADB" w:rsidRDefault="008466EB" w:rsidP="001D2ADB">
            <w:pPr>
              <w:spacing w:after="0"/>
              <w:rPr>
                <w:rFonts w:ascii="Arial" w:hAnsi="Arial" w:cs="Arial"/>
                <w:color w:val="000000"/>
              </w:rPr>
            </w:pPr>
            <w:r w:rsidRPr="001D2ADB">
              <w:rPr>
                <w:rFonts w:ascii="Arial" w:hAnsi="Arial" w:cs="Arial"/>
                <w:color w:val="000000"/>
              </w:rPr>
              <w:t>FH</w:t>
            </w:r>
          </w:p>
        </w:tc>
        <w:tc>
          <w:tcPr>
            <w:tcW w:w="847" w:type="dxa"/>
            <w:gridSpan w:val="2"/>
            <w:vMerge w:val="restart"/>
          </w:tcPr>
          <w:p w14:paraId="0CE06A3B" w14:textId="77777777" w:rsidR="008466EB" w:rsidRPr="001D2ADB" w:rsidRDefault="008466EB" w:rsidP="001D2ADB">
            <w:pPr>
              <w:spacing w:after="0"/>
              <w:rPr>
                <w:rFonts w:ascii="Arial" w:hAnsi="Arial" w:cs="Arial"/>
                <w:color w:val="000000"/>
              </w:rPr>
            </w:pPr>
            <w:r w:rsidRPr="001D2ADB">
              <w:rPr>
                <w:rFonts w:ascii="Arial" w:hAnsi="Arial" w:cs="Arial"/>
                <w:color w:val="000000"/>
              </w:rPr>
              <w:t>-28%</w:t>
            </w:r>
          </w:p>
        </w:tc>
        <w:tc>
          <w:tcPr>
            <w:tcW w:w="918" w:type="dxa"/>
          </w:tcPr>
          <w:p w14:paraId="18582065" w14:textId="77777777" w:rsidR="008466EB" w:rsidRPr="001D2ADB" w:rsidRDefault="008466EB" w:rsidP="001D2ADB">
            <w:pPr>
              <w:spacing w:after="0"/>
              <w:rPr>
                <w:rFonts w:ascii="Arial" w:hAnsi="Arial" w:cs="Arial"/>
                <w:color w:val="000000"/>
              </w:rPr>
            </w:pPr>
            <w:r w:rsidRPr="001D2ADB">
              <w:rPr>
                <w:rFonts w:ascii="Arial" w:hAnsi="Arial" w:cs="Arial"/>
                <w:color w:val="000000"/>
              </w:rPr>
              <w:t>N/A</w:t>
            </w:r>
          </w:p>
        </w:tc>
        <w:tc>
          <w:tcPr>
            <w:tcW w:w="756" w:type="dxa"/>
          </w:tcPr>
          <w:p w14:paraId="07DF76B2" w14:textId="77777777" w:rsidR="008466EB" w:rsidRPr="001D2ADB" w:rsidRDefault="008466EB" w:rsidP="001D2ADB">
            <w:pPr>
              <w:spacing w:after="0"/>
              <w:rPr>
                <w:rFonts w:ascii="Arial" w:hAnsi="Arial" w:cs="Arial"/>
                <w:color w:val="000000"/>
              </w:rPr>
            </w:pPr>
            <w:r w:rsidRPr="001D2ADB">
              <w:rPr>
                <w:rFonts w:ascii="Arial" w:hAnsi="Arial" w:cs="Arial"/>
                <w:color w:val="000000"/>
              </w:rPr>
              <w:t>-22%</w:t>
            </w:r>
          </w:p>
        </w:tc>
        <w:tc>
          <w:tcPr>
            <w:tcW w:w="911" w:type="dxa"/>
          </w:tcPr>
          <w:p w14:paraId="22D94064" w14:textId="77777777" w:rsidR="008466EB" w:rsidRPr="001D2ADB" w:rsidRDefault="008466EB" w:rsidP="001D2ADB">
            <w:pPr>
              <w:spacing w:after="0"/>
              <w:rPr>
                <w:rFonts w:ascii="Arial" w:hAnsi="Arial" w:cs="Arial"/>
                <w:color w:val="000000"/>
              </w:rPr>
            </w:pPr>
            <w:r w:rsidRPr="001D2ADB">
              <w:rPr>
                <w:rFonts w:ascii="Arial" w:hAnsi="Arial" w:cs="Arial"/>
                <w:color w:val="000000"/>
              </w:rPr>
              <w:t>N/A</w:t>
            </w:r>
          </w:p>
        </w:tc>
      </w:tr>
      <w:tr w:rsidR="008466EB" w:rsidRPr="001D2ADB" w14:paraId="73AB35B7" w14:textId="77777777" w:rsidTr="005F69B3">
        <w:trPr>
          <w:trHeight w:val="395"/>
        </w:trPr>
        <w:tc>
          <w:tcPr>
            <w:tcW w:w="2173" w:type="dxa"/>
            <w:vMerge/>
          </w:tcPr>
          <w:p w14:paraId="126353DD" w14:textId="77777777" w:rsidR="008466EB" w:rsidRPr="001D2ADB" w:rsidRDefault="008466EB" w:rsidP="001D2ADB">
            <w:pPr>
              <w:spacing w:after="0"/>
              <w:rPr>
                <w:rFonts w:ascii="Arial" w:hAnsi="Arial" w:cs="Arial"/>
                <w:color w:val="000000"/>
              </w:rPr>
            </w:pPr>
          </w:p>
        </w:tc>
        <w:tc>
          <w:tcPr>
            <w:tcW w:w="2011" w:type="dxa"/>
            <w:vMerge/>
          </w:tcPr>
          <w:p w14:paraId="0794F864" w14:textId="77777777" w:rsidR="008466EB" w:rsidRPr="001D2ADB" w:rsidRDefault="008466EB" w:rsidP="001D2ADB">
            <w:pPr>
              <w:spacing w:after="0"/>
              <w:rPr>
                <w:rFonts w:ascii="Arial" w:hAnsi="Arial" w:cs="Arial"/>
                <w:color w:val="000000"/>
              </w:rPr>
            </w:pPr>
          </w:p>
        </w:tc>
        <w:tc>
          <w:tcPr>
            <w:tcW w:w="2226" w:type="dxa"/>
            <w:vMerge/>
          </w:tcPr>
          <w:p w14:paraId="7909C328" w14:textId="77777777" w:rsidR="008466EB" w:rsidRPr="001D2ADB" w:rsidRDefault="008466EB" w:rsidP="001D2ADB">
            <w:pPr>
              <w:spacing w:after="0"/>
              <w:rPr>
                <w:rFonts w:ascii="Arial" w:hAnsi="Arial" w:cs="Arial"/>
                <w:color w:val="000000"/>
              </w:rPr>
            </w:pPr>
          </w:p>
        </w:tc>
        <w:tc>
          <w:tcPr>
            <w:tcW w:w="728" w:type="dxa"/>
          </w:tcPr>
          <w:p w14:paraId="0690C388" w14:textId="77777777" w:rsidR="008466EB" w:rsidRPr="001D2ADB" w:rsidRDefault="008466EB" w:rsidP="001D2ADB">
            <w:pPr>
              <w:spacing w:after="0"/>
              <w:rPr>
                <w:rFonts w:ascii="Arial" w:hAnsi="Arial" w:cs="Arial"/>
                <w:color w:val="000000"/>
              </w:rPr>
            </w:pPr>
            <w:r w:rsidRPr="001D2ADB">
              <w:rPr>
                <w:rFonts w:ascii="Arial" w:hAnsi="Arial" w:cs="Arial"/>
                <w:color w:val="000000"/>
              </w:rPr>
              <w:t>FCHL</w:t>
            </w:r>
          </w:p>
        </w:tc>
        <w:tc>
          <w:tcPr>
            <w:tcW w:w="847" w:type="dxa"/>
            <w:gridSpan w:val="2"/>
            <w:vMerge/>
          </w:tcPr>
          <w:p w14:paraId="7AA9DE64" w14:textId="77777777" w:rsidR="008466EB" w:rsidRPr="001D2ADB" w:rsidRDefault="008466EB" w:rsidP="001D2ADB">
            <w:pPr>
              <w:spacing w:after="0"/>
              <w:rPr>
                <w:rFonts w:ascii="Arial" w:hAnsi="Arial" w:cs="Arial"/>
                <w:color w:val="000000"/>
              </w:rPr>
            </w:pPr>
          </w:p>
        </w:tc>
        <w:tc>
          <w:tcPr>
            <w:tcW w:w="918" w:type="dxa"/>
          </w:tcPr>
          <w:p w14:paraId="61C5A60D" w14:textId="77777777" w:rsidR="008466EB" w:rsidRPr="001D2ADB" w:rsidRDefault="008466EB" w:rsidP="001D2ADB">
            <w:pPr>
              <w:spacing w:after="0"/>
              <w:rPr>
                <w:rFonts w:ascii="Arial" w:hAnsi="Arial" w:cs="Arial"/>
                <w:color w:val="000000"/>
              </w:rPr>
            </w:pPr>
            <w:r w:rsidRPr="001D2ADB">
              <w:rPr>
                <w:rFonts w:ascii="Arial" w:hAnsi="Arial" w:cs="Arial"/>
                <w:color w:val="000000"/>
              </w:rPr>
              <w:t>N/A</w:t>
            </w:r>
          </w:p>
        </w:tc>
        <w:tc>
          <w:tcPr>
            <w:tcW w:w="756" w:type="dxa"/>
          </w:tcPr>
          <w:p w14:paraId="76802726" w14:textId="77777777" w:rsidR="008466EB" w:rsidRPr="001D2ADB" w:rsidRDefault="008466EB" w:rsidP="001D2ADB">
            <w:pPr>
              <w:spacing w:after="0"/>
              <w:rPr>
                <w:rFonts w:ascii="Arial" w:hAnsi="Arial" w:cs="Arial"/>
                <w:color w:val="000000"/>
              </w:rPr>
            </w:pPr>
            <w:r w:rsidRPr="001D2ADB">
              <w:rPr>
                <w:rFonts w:ascii="Arial" w:hAnsi="Arial" w:cs="Arial"/>
                <w:color w:val="000000"/>
              </w:rPr>
              <w:t>-13%</w:t>
            </w:r>
          </w:p>
        </w:tc>
        <w:tc>
          <w:tcPr>
            <w:tcW w:w="911" w:type="dxa"/>
          </w:tcPr>
          <w:p w14:paraId="2D6AC242" w14:textId="77777777" w:rsidR="008466EB" w:rsidRPr="001D2ADB" w:rsidRDefault="008466EB" w:rsidP="001D2ADB">
            <w:pPr>
              <w:spacing w:after="0"/>
              <w:rPr>
                <w:rFonts w:ascii="Arial" w:hAnsi="Arial" w:cs="Arial"/>
                <w:color w:val="000000"/>
              </w:rPr>
            </w:pPr>
            <w:r w:rsidRPr="001D2ADB">
              <w:rPr>
                <w:rFonts w:ascii="Arial" w:hAnsi="Arial" w:cs="Arial"/>
                <w:color w:val="000000"/>
              </w:rPr>
              <w:t>N/A</w:t>
            </w:r>
          </w:p>
        </w:tc>
      </w:tr>
      <w:tr w:rsidR="008466EB" w:rsidRPr="001D2ADB" w14:paraId="267A94D6" w14:textId="77777777" w:rsidTr="005F69B3">
        <w:trPr>
          <w:trHeight w:val="395"/>
        </w:trPr>
        <w:tc>
          <w:tcPr>
            <w:tcW w:w="2173" w:type="dxa"/>
            <w:vMerge w:val="restart"/>
          </w:tcPr>
          <w:p w14:paraId="0A38A239" w14:textId="5C6A2EC8" w:rsidR="008466EB" w:rsidRPr="001D2ADB" w:rsidRDefault="008466EB" w:rsidP="001D2ADB">
            <w:pPr>
              <w:spacing w:after="0"/>
              <w:rPr>
                <w:rFonts w:ascii="Arial" w:hAnsi="Arial" w:cs="Arial"/>
                <w:color w:val="000000"/>
                <w:vertAlign w:val="superscript"/>
              </w:rPr>
            </w:pPr>
            <w:r w:rsidRPr="001D2ADB">
              <w:rPr>
                <w:rFonts w:ascii="Arial" w:hAnsi="Arial" w:cs="Arial"/>
                <w:color w:val="000000"/>
              </w:rPr>
              <w:t>van der Graaf, et al</w:t>
            </w:r>
            <w:r w:rsidR="00F0157D" w:rsidRPr="001D2ADB">
              <w:rPr>
                <w:rFonts w:ascii="Arial" w:hAnsi="Arial" w:cs="Arial"/>
                <w:color w:val="000000"/>
              </w:rPr>
              <w:t xml:space="preserve"> (58</w:t>
            </w:r>
            <w:r w:rsidR="00D85D9C" w:rsidRPr="001D2ADB">
              <w:rPr>
                <w:rFonts w:ascii="Arial" w:hAnsi="Arial" w:cs="Arial"/>
                <w:color w:val="000000"/>
              </w:rPr>
              <w:t>)</w:t>
            </w:r>
          </w:p>
        </w:tc>
        <w:tc>
          <w:tcPr>
            <w:tcW w:w="2011" w:type="dxa"/>
            <w:vMerge w:val="restart"/>
          </w:tcPr>
          <w:p w14:paraId="39B4182F" w14:textId="77777777" w:rsidR="008466EB" w:rsidRPr="001D2ADB" w:rsidRDefault="008466EB" w:rsidP="001D2ADB">
            <w:pPr>
              <w:spacing w:after="0"/>
              <w:rPr>
                <w:rFonts w:ascii="Arial" w:hAnsi="Arial" w:cs="Arial"/>
                <w:color w:val="000000"/>
              </w:rPr>
            </w:pPr>
            <w:r w:rsidRPr="001D2ADB">
              <w:rPr>
                <w:rFonts w:ascii="Arial" w:hAnsi="Arial" w:cs="Arial"/>
                <w:color w:val="000000"/>
              </w:rPr>
              <w:t>Ezetimibe</w:t>
            </w:r>
            <w:r w:rsidRPr="001D2ADB">
              <w:rPr>
                <w:rFonts w:ascii="Arial" w:hAnsi="Arial" w:cs="Arial"/>
                <w:color w:val="000000"/>
              </w:rPr>
              <w:br/>
              <w:t>&amp;</w:t>
            </w:r>
            <w:r w:rsidRPr="001D2ADB">
              <w:rPr>
                <w:rFonts w:ascii="Arial" w:hAnsi="Arial" w:cs="Arial"/>
                <w:color w:val="000000"/>
              </w:rPr>
              <w:br/>
              <w:t>Simvastatin</w:t>
            </w:r>
          </w:p>
        </w:tc>
        <w:tc>
          <w:tcPr>
            <w:tcW w:w="2226" w:type="dxa"/>
            <w:vMerge w:val="restart"/>
          </w:tcPr>
          <w:p w14:paraId="4D1094BF" w14:textId="77777777" w:rsidR="008466EB" w:rsidRPr="001D2ADB" w:rsidRDefault="008466EB" w:rsidP="001D2ADB">
            <w:pPr>
              <w:spacing w:after="0"/>
              <w:rPr>
                <w:rFonts w:ascii="Arial" w:hAnsi="Arial" w:cs="Arial"/>
                <w:color w:val="000000"/>
              </w:rPr>
            </w:pPr>
            <w:r w:rsidRPr="001D2ADB">
              <w:rPr>
                <w:rFonts w:ascii="Arial" w:hAnsi="Arial" w:cs="Arial"/>
                <w:color w:val="000000"/>
              </w:rPr>
              <w:t>Ezetimibe: 10 mg/day</w:t>
            </w:r>
            <w:r w:rsidRPr="001D2ADB">
              <w:rPr>
                <w:rFonts w:ascii="Arial" w:hAnsi="Arial" w:cs="Arial"/>
                <w:color w:val="000000"/>
              </w:rPr>
              <w:br/>
              <w:t>Simvastatin: 10-40 mg/day</w:t>
            </w:r>
          </w:p>
        </w:tc>
        <w:tc>
          <w:tcPr>
            <w:tcW w:w="1575" w:type="dxa"/>
            <w:gridSpan w:val="3"/>
          </w:tcPr>
          <w:p w14:paraId="10273CC8" w14:textId="77777777" w:rsidR="008466EB" w:rsidRPr="001D2ADB" w:rsidRDefault="008466EB" w:rsidP="001D2ADB">
            <w:pPr>
              <w:spacing w:after="0"/>
              <w:rPr>
                <w:rFonts w:ascii="Arial" w:hAnsi="Arial" w:cs="Arial"/>
                <w:color w:val="000000"/>
              </w:rPr>
            </w:pPr>
            <w:r w:rsidRPr="001D2ADB">
              <w:rPr>
                <w:rFonts w:ascii="Arial" w:hAnsi="Arial" w:cs="Arial"/>
                <w:color w:val="000000"/>
              </w:rPr>
              <w:t xml:space="preserve">            LDL-C</w:t>
            </w:r>
          </w:p>
        </w:tc>
        <w:tc>
          <w:tcPr>
            <w:tcW w:w="918" w:type="dxa"/>
          </w:tcPr>
          <w:p w14:paraId="4C536C85" w14:textId="77777777" w:rsidR="008466EB" w:rsidRPr="001D2ADB" w:rsidRDefault="008466EB" w:rsidP="001D2ADB">
            <w:pPr>
              <w:spacing w:after="0"/>
              <w:rPr>
                <w:rFonts w:ascii="Arial" w:hAnsi="Arial" w:cs="Arial"/>
                <w:color w:val="000000"/>
              </w:rPr>
            </w:pPr>
            <w:r w:rsidRPr="001D2ADB">
              <w:rPr>
                <w:rFonts w:ascii="Arial" w:hAnsi="Arial" w:cs="Arial"/>
                <w:color w:val="000000"/>
              </w:rPr>
              <w:t>HDL-C</w:t>
            </w:r>
          </w:p>
        </w:tc>
        <w:tc>
          <w:tcPr>
            <w:tcW w:w="756" w:type="dxa"/>
          </w:tcPr>
          <w:p w14:paraId="3776F612" w14:textId="77777777" w:rsidR="008466EB" w:rsidRPr="001D2ADB" w:rsidRDefault="008466EB" w:rsidP="001D2ADB">
            <w:pPr>
              <w:spacing w:after="0"/>
              <w:rPr>
                <w:rFonts w:ascii="Arial" w:hAnsi="Arial" w:cs="Arial"/>
                <w:color w:val="000000"/>
              </w:rPr>
            </w:pPr>
            <w:r w:rsidRPr="001D2ADB">
              <w:rPr>
                <w:rFonts w:ascii="Arial" w:hAnsi="Arial" w:cs="Arial"/>
                <w:color w:val="000000"/>
              </w:rPr>
              <w:t>TC</w:t>
            </w:r>
          </w:p>
        </w:tc>
        <w:tc>
          <w:tcPr>
            <w:tcW w:w="911" w:type="dxa"/>
          </w:tcPr>
          <w:p w14:paraId="69CADC84" w14:textId="77777777" w:rsidR="008466EB" w:rsidRPr="001D2ADB" w:rsidRDefault="008466EB" w:rsidP="001D2ADB">
            <w:pPr>
              <w:spacing w:after="0"/>
              <w:rPr>
                <w:rFonts w:ascii="Arial" w:hAnsi="Arial" w:cs="Arial"/>
                <w:color w:val="000000"/>
              </w:rPr>
            </w:pPr>
            <w:r w:rsidRPr="001D2ADB">
              <w:rPr>
                <w:rFonts w:ascii="Arial" w:hAnsi="Arial" w:cs="Arial"/>
                <w:color w:val="000000"/>
              </w:rPr>
              <w:t>TG</w:t>
            </w:r>
          </w:p>
        </w:tc>
      </w:tr>
      <w:tr w:rsidR="008466EB" w:rsidRPr="001D2ADB" w14:paraId="4D06340D" w14:textId="77777777" w:rsidTr="005F69B3">
        <w:trPr>
          <w:trHeight w:val="350"/>
        </w:trPr>
        <w:tc>
          <w:tcPr>
            <w:tcW w:w="2173" w:type="dxa"/>
            <w:vMerge/>
          </w:tcPr>
          <w:p w14:paraId="47ACAA43" w14:textId="77777777" w:rsidR="008466EB" w:rsidRPr="001D2ADB" w:rsidRDefault="008466EB" w:rsidP="001D2ADB">
            <w:pPr>
              <w:spacing w:after="0"/>
              <w:rPr>
                <w:rFonts w:ascii="Arial" w:hAnsi="Arial" w:cs="Arial"/>
                <w:color w:val="000000"/>
              </w:rPr>
            </w:pPr>
          </w:p>
        </w:tc>
        <w:tc>
          <w:tcPr>
            <w:tcW w:w="2011" w:type="dxa"/>
            <w:vMerge/>
          </w:tcPr>
          <w:p w14:paraId="460CA1FC" w14:textId="77777777" w:rsidR="008466EB" w:rsidRPr="001D2ADB" w:rsidRDefault="008466EB" w:rsidP="001D2ADB">
            <w:pPr>
              <w:spacing w:after="0"/>
              <w:rPr>
                <w:rFonts w:ascii="Arial" w:hAnsi="Arial" w:cs="Arial"/>
                <w:color w:val="000000"/>
              </w:rPr>
            </w:pPr>
          </w:p>
        </w:tc>
        <w:tc>
          <w:tcPr>
            <w:tcW w:w="2226" w:type="dxa"/>
            <w:vMerge/>
          </w:tcPr>
          <w:p w14:paraId="6DAF0B9F" w14:textId="77777777" w:rsidR="008466EB" w:rsidRPr="001D2ADB" w:rsidRDefault="008466EB" w:rsidP="001D2ADB">
            <w:pPr>
              <w:spacing w:after="0"/>
              <w:rPr>
                <w:rFonts w:ascii="Arial" w:hAnsi="Arial" w:cs="Arial"/>
                <w:color w:val="000000"/>
              </w:rPr>
            </w:pPr>
          </w:p>
        </w:tc>
        <w:tc>
          <w:tcPr>
            <w:tcW w:w="1575" w:type="dxa"/>
            <w:gridSpan w:val="3"/>
          </w:tcPr>
          <w:p w14:paraId="6F5DD31C" w14:textId="77777777" w:rsidR="008466EB" w:rsidRPr="001D2ADB" w:rsidRDefault="008466EB" w:rsidP="001D2ADB">
            <w:pPr>
              <w:spacing w:after="0"/>
              <w:rPr>
                <w:rFonts w:ascii="Arial" w:hAnsi="Arial" w:cs="Arial"/>
                <w:color w:val="000000"/>
              </w:rPr>
            </w:pPr>
            <w:r w:rsidRPr="001D2ADB">
              <w:rPr>
                <w:rFonts w:ascii="Arial" w:hAnsi="Arial" w:cs="Arial"/>
                <w:color w:val="000000"/>
              </w:rPr>
              <w:t xml:space="preserve">              -49%</w:t>
            </w:r>
          </w:p>
        </w:tc>
        <w:tc>
          <w:tcPr>
            <w:tcW w:w="918" w:type="dxa"/>
          </w:tcPr>
          <w:p w14:paraId="7D78DF37" w14:textId="77777777" w:rsidR="008466EB" w:rsidRPr="001D2ADB" w:rsidRDefault="008466EB" w:rsidP="001D2ADB">
            <w:pPr>
              <w:spacing w:after="0"/>
              <w:rPr>
                <w:rFonts w:ascii="Arial" w:hAnsi="Arial" w:cs="Arial"/>
                <w:color w:val="000000"/>
              </w:rPr>
            </w:pPr>
            <w:r w:rsidRPr="001D2ADB">
              <w:rPr>
                <w:rFonts w:ascii="Arial" w:hAnsi="Arial" w:cs="Arial"/>
                <w:color w:val="000000"/>
              </w:rPr>
              <w:t>+7%</w:t>
            </w:r>
          </w:p>
        </w:tc>
        <w:tc>
          <w:tcPr>
            <w:tcW w:w="756" w:type="dxa"/>
          </w:tcPr>
          <w:p w14:paraId="21183F89" w14:textId="77777777" w:rsidR="008466EB" w:rsidRPr="001D2ADB" w:rsidRDefault="008466EB" w:rsidP="001D2ADB">
            <w:pPr>
              <w:spacing w:after="0"/>
              <w:rPr>
                <w:rFonts w:ascii="Arial" w:hAnsi="Arial" w:cs="Arial"/>
                <w:color w:val="000000"/>
              </w:rPr>
            </w:pPr>
            <w:r w:rsidRPr="001D2ADB">
              <w:rPr>
                <w:rFonts w:ascii="Arial" w:hAnsi="Arial" w:cs="Arial"/>
                <w:color w:val="000000"/>
              </w:rPr>
              <w:t>-38%</w:t>
            </w:r>
          </w:p>
        </w:tc>
        <w:tc>
          <w:tcPr>
            <w:tcW w:w="911" w:type="dxa"/>
          </w:tcPr>
          <w:p w14:paraId="3A4A3CAB" w14:textId="77777777" w:rsidR="008466EB" w:rsidRPr="001D2ADB" w:rsidRDefault="008466EB" w:rsidP="001D2ADB">
            <w:pPr>
              <w:spacing w:after="0"/>
              <w:rPr>
                <w:rFonts w:ascii="Arial" w:hAnsi="Arial" w:cs="Arial"/>
                <w:color w:val="000000"/>
              </w:rPr>
            </w:pPr>
            <w:r w:rsidRPr="001D2ADB">
              <w:rPr>
                <w:rFonts w:ascii="Arial" w:hAnsi="Arial" w:cs="Arial"/>
                <w:color w:val="000000"/>
              </w:rPr>
              <w:t>-17%</w:t>
            </w:r>
          </w:p>
        </w:tc>
      </w:tr>
    </w:tbl>
    <w:p w14:paraId="0207BEF4" w14:textId="707BE795" w:rsidR="008466EB" w:rsidRPr="001D2ADB" w:rsidRDefault="008466EB" w:rsidP="001D2ADB">
      <w:pPr>
        <w:autoSpaceDE w:val="0"/>
        <w:autoSpaceDN w:val="0"/>
        <w:adjustRightInd w:val="0"/>
        <w:spacing w:after="0"/>
        <w:rPr>
          <w:rFonts w:ascii="Arial" w:hAnsi="Arial" w:cs="Arial"/>
        </w:rPr>
      </w:pPr>
      <w:r w:rsidRPr="001D2ADB">
        <w:rPr>
          <w:rFonts w:ascii="Arial" w:hAnsi="Arial" w:cs="Arial"/>
        </w:rPr>
        <w:t xml:space="preserve">Adapted from National Heart Lung and Blood Institute (NHLBI): Expert Panel on Integrated Guidelines for Cardiovascular Health and Risk Reduction in Children and Adolescents: Summary Report.  </w:t>
      </w:r>
      <w:r w:rsidRPr="001D2ADB">
        <w:rPr>
          <w:rFonts w:ascii="Arial" w:hAnsi="Arial" w:cs="Arial"/>
          <w:i/>
        </w:rPr>
        <w:t>Pediatrics</w:t>
      </w:r>
      <w:r w:rsidRPr="001D2ADB">
        <w:rPr>
          <w:rFonts w:ascii="Arial" w:hAnsi="Arial" w:cs="Arial"/>
        </w:rPr>
        <w:t>.  2011;128(S5</w:t>
      </w:r>
      <w:proofErr w:type="gramStart"/>
      <w:r w:rsidRPr="001D2ADB">
        <w:rPr>
          <w:rFonts w:ascii="Arial" w:hAnsi="Arial" w:cs="Arial"/>
        </w:rPr>
        <w:t>):S</w:t>
      </w:r>
      <w:proofErr w:type="gramEnd"/>
      <w:r w:rsidRPr="001D2ADB">
        <w:rPr>
          <w:rFonts w:ascii="Arial" w:hAnsi="Arial" w:cs="Arial"/>
        </w:rPr>
        <w:t>213-S256: Table 9-11.</w:t>
      </w:r>
      <w:r w:rsidRPr="001D2ADB">
        <w:rPr>
          <w:rFonts w:ascii="Arial" w:hAnsi="Arial" w:cs="Arial"/>
        </w:rPr>
        <w:br/>
        <w:t>Abbreviations: mg=milligrams, LDL-C=low density lipoprotein cholesterol, HDL-C=high density lipoprotein cholesterol, TC=total cholesterol, TG=triglycerides, PH=polygenic hypercholesterolemia, FH=familial hypercholesterolemia, FCHL=familial combined hyperlipidemia</w:t>
      </w:r>
      <w:r w:rsidR="00C2798A">
        <w:rPr>
          <w:rFonts w:ascii="Arial" w:hAnsi="Arial" w:cs="Arial"/>
        </w:rPr>
        <w:t>.</w:t>
      </w:r>
    </w:p>
    <w:p w14:paraId="48C146D9" w14:textId="4699B75D" w:rsidR="004A7E1E" w:rsidRPr="001D2ADB" w:rsidRDefault="004A7E1E" w:rsidP="001D2ADB">
      <w:pPr>
        <w:spacing w:after="0"/>
        <w:rPr>
          <w:rFonts w:ascii="Arial" w:hAnsi="Arial" w:cs="Arial"/>
        </w:rPr>
      </w:pPr>
    </w:p>
    <w:p w14:paraId="39C7D0B8" w14:textId="6B5C5067" w:rsidR="00375B2B" w:rsidRPr="001D2ADB" w:rsidRDefault="00375B2B" w:rsidP="001D2ADB">
      <w:pPr>
        <w:spacing w:after="0"/>
        <w:rPr>
          <w:rFonts w:ascii="Arial" w:hAnsi="Arial" w:cs="Arial"/>
        </w:rPr>
      </w:pPr>
      <w:r w:rsidRPr="001D2ADB">
        <w:rPr>
          <w:rFonts w:ascii="Arial" w:hAnsi="Arial" w:cs="Arial"/>
        </w:rPr>
        <w:t>Van der Graaf and colleagues assessed the safety of combination therapy with ezetimibe and simvastatin based on reported adverse events as well as laboratory monitoring and clinical examination</w:t>
      </w:r>
      <w:r w:rsidR="00D85D9C" w:rsidRPr="001D2ADB">
        <w:rPr>
          <w:rFonts w:ascii="Arial" w:hAnsi="Arial" w:cs="Arial"/>
        </w:rPr>
        <w:t xml:space="preserve"> (5</w:t>
      </w:r>
      <w:r w:rsidR="00F0157D" w:rsidRPr="001D2ADB">
        <w:rPr>
          <w:rFonts w:ascii="Arial" w:hAnsi="Arial" w:cs="Arial"/>
        </w:rPr>
        <w:t>8</w:t>
      </w:r>
      <w:r w:rsidR="00D85D9C" w:rsidRPr="001D2ADB">
        <w:rPr>
          <w:rFonts w:ascii="Arial" w:hAnsi="Arial" w:cs="Arial"/>
        </w:rPr>
        <w:t>)</w:t>
      </w:r>
      <w:r w:rsidRPr="001D2ADB">
        <w:rPr>
          <w:rFonts w:ascii="Arial" w:hAnsi="Arial" w:cs="Arial"/>
        </w:rPr>
        <w:t>.</w:t>
      </w:r>
      <w:r w:rsidR="006A6C95" w:rsidRPr="001D2ADB">
        <w:rPr>
          <w:rFonts w:ascii="Arial" w:hAnsi="Arial" w:cs="Arial"/>
        </w:rPr>
        <w:t xml:space="preserve"> After</w:t>
      </w:r>
      <w:r w:rsidRPr="001D2ADB">
        <w:rPr>
          <w:rFonts w:ascii="Arial" w:hAnsi="Arial" w:cs="Arial"/>
        </w:rPr>
        <w:t xml:space="preserve"> 53 weeks, 71% of study participants reported some types of treatment-emergent adverse events. Of those events reported, only influenza, nasopharyngitis, and headache occurred in greater than 5% of participants. Consecutive transaminase elevations of at least three times the upper limit of normal were reported in 6 participants; however, all values resolved with interruption or discontinuation of therapy.  Elevations in creatine phosphokinase occurred infrequently and were not associated with myalgia at levels greater than three times the upper limit of normal.  Height, weight, and sexual maturation were not significantly impacted by therapy. </w:t>
      </w:r>
      <w:r w:rsidR="008C56AB" w:rsidRPr="001D2ADB">
        <w:rPr>
          <w:rFonts w:ascii="Arial" w:hAnsi="Arial" w:cs="Arial"/>
        </w:rPr>
        <w:t>Ezetimibe affords flexibility in administration time with the ability to administer it without regard to meals or time of day</w:t>
      </w:r>
      <w:r w:rsidR="00D85D9C" w:rsidRPr="001D2ADB">
        <w:rPr>
          <w:rFonts w:ascii="Arial" w:hAnsi="Arial" w:cs="Arial"/>
        </w:rPr>
        <w:t xml:space="preserve"> (4</w:t>
      </w:r>
      <w:r w:rsidR="00F0157D" w:rsidRPr="001D2ADB">
        <w:rPr>
          <w:rFonts w:ascii="Arial" w:hAnsi="Arial" w:cs="Arial"/>
        </w:rPr>
        <w:t>5</w:t>
      </w:r>
      <w:r w:rsidR="00D85D9C" w:rsidRPr="001D2ADB">
        <w:rPr>
          <w:rFonts w:ascii="Arial" w:hAnsi="Arial" w:cs="Arial"/>
        </w:rPr>
        <w:t>)</w:t>
      </w:r>
      <w:r w:rsidR="008C56AB" w:rsidRPr="001D2ADB">
        <w:rPr>
          <w:rFonts w:ascii="Arial" w:hAnsi="Arial" w:cs="Arial"/>
        </w:rPr>
        <w:t>.</w:t>
      </w:r>
      <w:r w:rsidR="006A6C95" w:rsidRPr="001D2ADB">
        <w:rPr>
          <w:rFonts w:ascii="Arial" w:hAnsi="Arial" w:cs="Arial"/>
        </w:rPr>
        <w:t xml:space="preserve"> </w:t>
      </w:r>
      <w:r w:rsidR="00407FB9" w:rsidRPr="001D2ADB">
        <w:rPr>
          <w:rFonts w:ascii="Arial" w:hAnsi="Arial" w:cs="Arial"/>
        </w:rPr>
        <w:t xml:space="preserve">HMG-CoA reductase inhibitors have the risk of </w:t>
      </w:r>
      <w:r w:rsidR="00407FB9" w:rsidRPr="001D2ADB">
        <w:rPr>
          <w:rFonts w:ascii="Arial" w:hAnsi="Arial" w:cs="Arial"/>
        </w:rPr>
        <w:lastRenderedPageBreak/>
        <w:t>increasing myopath</w:t>
      </w:r>
      <w:r w:rsidR="00A5659E" w:rsidRPr="001D2ADB">
        <w:rPr>
          <w:rFonts w:ascii="Arial" w:hAnsi="Arial" w:cs="Arial"/>
        </w:rPr>
        <w:t>y</w:t>
      </w:r>
      <w:r w:rsidR="00407FB9" w:rsidRPr="001D2ADB">
        <w:rPr>
          <w:rFonts w:ascii="Arial" w:hAnsi="Arial" w:cs="Arial"/>
        </w:rPr>
        <w:t xml:space="preserve"> and</w:t>
      </w:r>
      <w:r w:rsidR="008C56AB" w:rsidRPr="001D2ADB">
        <w:rPr>
          <w:rFonts w:ascii="Arial" w:hAnsi="Arial" w:cs="Arial"/>
        </w:rPr>
        <w:t xml:space="preserve"> elevation in</w:t>
      </w:r>
      <w:r w:rsidR="00407FB9" w:rsidRPr="001D2ADB">
        <w:rPr>
          <w:rFonts w:ascii="Arial" w:hAnsi="Arial" w:cs="Arial"/>
        </w:rPr>
        <w:t xml:space="preserve"> hepatic transaminases, but are generally considered a safe combination</w:t>
      </w:r>
      <w:r w:rsidR="00D019C6" w:rsidRPr="001D2ADB">
        <w:rPr>
          <w:rFonts w:ascii="Arial" w:hAnsi="Arial" w:cs="Arial"/>
        </w:rPr>
        <w:t xml:space="preserve"> with ezetimibe</w:t>
      </w:r>
      <w:r w:rsidR="00407FB9" w:rsidRPr="001D2ADB">
        <w:rPr>
          <w:rFonts w:ascii="Arial" w:hAnsi="Arial" w:cs="Arial"/>
        </w:rPr>
        <w:t>.</w:t>
      </w:r>
    </w:p>
    <w:p w14:paraId="6D81F52C" w14:textId="77777777" w:rsidR="00474DCD" w:rsidRPr="001D2ADB" w:rsidRDefault="00474DCD" w:rsidP="001D2ADB">
      <w:pPr>
        <w:spacing w:after="0"/>
        <w:outlineLvl w:val="0"/>
        <w:rPr>
          <w:rFonts w:ascii="Arial" w:hAnsi="Arial" w:cs="Arial"/>
        </w:rPr>
      </w:pPr>
    </w:p>
    <w:p w14:paraId="419EED2C" w14:textId="6196B3F0" w:rsidR="00375B2B" w:rsidRPr="001D2ADB" w:rsidRDefault="00375B2B" w:rsidP="001D2ADB">
      <w:pPr>
        <w:spacing w:after="0"/>
        <w:outlineLvl w:val="0"/>
        <w:rPr>
          <w:rFonts w:ascii="Arial" w:hAnsi="Arial" w:cs="Arial"/>
          <w:b/>
          <w:bCs/>
          <w:color w:val="0070C0"/>
        </w:rPr>
      </w:pPr>
      <w:r w:rsidRPr="001D2ADB">
        <w:rPr>
          <w:rFonts w:ascii="Arial" w:hAnsi="Arial" w:cs="Arial"/>
          <w:b/>
          <w:bCs/>
          <w:color w:val="0070C0"/>
        </w:rPr>
        <w:t>OMEGA-3 FISH OILS</w:t>
      </w:r>
    </w:p>
    <w:p w14:paraId="0E7C3CEB" w14:textId="77777777" w:rsidR="00474DCD" w:rsidRPr="001D2ADB" w:rsidRDefault="00474DCD" w:rsidP="001D2ADB">
      <w:pPr>
        <w:spacing w:after="0"/>
        <w:rPr>
          <w:rFonts w:ascii="Arial" w:hAnsi="Arial" w:cs="Arial"/>
        </w:rPr>
      </w:pPr>
    </w:p>
    <w:p w14:paraId="08FD9205" w14:textId="758B4C0B" w:rsidR="00375B2B" w:rsidRPr="001D2ADB" w:rsidRDefault="00375B2B" w:rsidP="001D2ADB">
      <w:pPr>
        <w:spacing w:after="0"/>
        <w:rPr>
          <w:rFonts w:ascii="Arial" w:hAnsi="Arial" w:cs="Arial"/>
          <w:vertAlign w:val="superscript"/>
        </w:rPr>
      </w:pPr>
      <w:r w:rsidRPr="001D2ADB">
        <w:rPr>
          <w:rFonts w:ascii="Arial" w:hAnsi="Arial" w:cs="Arial"/>
        </w:rPr>
        <w:t xml:space="preserve">Omega-3 fish oils are a class of therapy </w:t>
      </w:r>
      <w:r w:rsidR="008C56AB" w:rsidRPr="001D2ADB">
        <w:rPr>
          <w:rFonts w:ascii="Arial" w:hAnsi="Arial" w:cs="Arial"/>
        </w:rPr>
        <w:t>for which there is</w:t>
      </w:r>
      <w:r w:rsidRPr="001D2ADB">
        <w:rPr>
          <w:rFonts w:ascii="Arial" w:hAnsi="Arial" w:cs="Arial"/>
        </w:rPr>
        <w:t xml:space="preserve"> si</w:t>
      </w:r>
      <w:r w:rsidR="008C56AB" w:rsidRPr="001D2ADB">
        <w:rPr>
          <w:rFonts w:ascii="Arial" w:hAnsi="Arial" w:cs="Arial"/>
        </w:rPr>
        <w:t>gnificantly limited data in youth</w:t>
      </w:r>
      <w:r w:rsidRPr="001D2ADB">
        <w:rPr>
          <w:rFonts w:ascii="Arial" w:hAnsi="Arial" w:cs="Arial"/>
        </w:rPr>
        <w:t>. To date the FDA approved formulation</w:t>
      </w:r>
      <w:r w:rsidR="00D019C6" w:rsidRPr="001D2ADB">
        <w:rPr>
          <w:rFonts w:ascii="Arial" w:hAnsi="Arial" w:cs="Arial"/>
        </w:rPr>
        <w:t>s</w:t>
      </w:r>
      <w:r w:rsidRPr="001D2ADB">
        <w:rPr>
          <w:rFonts w:ascii="Arial" w:hAnsi="Arial" w:cs="Arial"/>
        </w:rPr>
        <w:t xml:space="preserve"> of omega-3 fatty acid lack a pediatric indication. </w:t>
      </w:r>
      <w:r w:rsidR="00943F2A" w:rsidRPr="001D2ADB">
        <w:rPr>
          <w:rFonts w:ascii="Arial" w:hAnsi="Arial" w:cs="Arial"/>
        </w:rPr>
        <w:t>High dose omega-3 fatty acid supplementation was evaluated by de Ferranti and colleagues, but ultimately the</w:t>
      </w:r>
      <w:r w:rsidR="008C56AB" w:rsidRPr="001D2ADB">
        <w:rPr>
          <w:rFonts w:ascii="Arial" w:hAnsi="Arial" w:cs="Arial"/>
        </w:rPr>
        <w:t xml:space="preserve"> authors</w:t>
      </w:r>
      <w:r w:rsidR="00943F2A" w:rsidRPr="001D2ADB">
        <w:rPr>
          <w:rFonts w:ascii="Arial" w:hAnsi="Arial" w:cs="Arial"/>
        </w:rPr>
        <w:t xml:space="preserve"> found no statistically significant improvement when </w:t>
      </w:r>
      <w:r w:rsidR="008C56AB" w:rsidRPr="001D2ADB">
        <w:rPr>
          <w:rFonts w:ascii="Arial" w:hAnsi="Arial" w:cs="Arial"/>
        </w:rPr>
        <w:t xml:space="preserve">subjects were </w:t>
      </w:r>
      <w:r w:rsidR="00943F2A" w:rsidRPr="001D2ADB">
        <w:rPr>
          <w:rFonts w:ascii="Arial" w:hAnsi="Arial" w:cs="Arial"/>
        </w:rPr>
        <w:t>compared to placebo</w:t>
      </w:r>
      <w:r w:rsidR="00F0157D" w:rsidRPr="001D2ADB">
        <w:rPr>
          <w:rFonts w:ascii="Arial" w:hAnsi="Arial" w:cs="Arial"/>
        </w:rPr>
        <w:t xml:space="preserve"> (60</w:t>
      </w:r>
      <w:r w:rsidR="00D019C6" w:rsidRPr="001D2ADB">
        <w:rPr>
          <w:rFonts w:ascii="Arial" w:hAnsi="Arial" w:cs="Arial"/>
        </w:rPr>
        <w:t>)</w:t>
      </w:r>
      <w:r w:rsidR="00943F2A" w:rsidRPr="001D2ADB">
        <w:rPr>
          <w:rFonts w:ascii="Arial" w:hAnsi="Arial" w:cs="Arial"/>
        </w:rPr>
        <w:t>.</w:t>
      </w:r>
      <w:r w:rsidR="006A6C95" w:rsidRPr="001D2ADB">
        <w:rPr>
          <w:rFonts w:ascii="Arial" w:hAnsi="Arial" w:cs="Arial"/>
        </w:rPr>
        <w:t xml:space="preserve"> </w:t>
      </w:r>
      <w:r w:rsidR="00F675E1" w:rsidRPr="001D2ADB">
        <w:rPr>
          <w:rFonts w:ascii="Arial" w:hAnsi="Arial" w:cs="Arial"/>
        </w:rPr>
        <w:t>Chahal</w:t>
      </w:r>
      <w:r w:rsidR="00943F2A" w:rsidRPr="001D2ADB">
        <w:rPr>
          <w:rFonts w:ascii="Arial" w:hAnsi="Arial" w:cs="Arial"/>
        </w:rPr>
        <w:t xml:space="preserve"> and colleagues similarly found no significant impact on hypertriglyceridemia when treating pediatric patients with fish oil</w:t>
      </w:r>
      <w:r w:rsidR="00F0157D" w:rsidRPr="001D2ADB">
        <w:rPr>
          <w:rFonts w:ascii="Arial" w:hAnsi="Arial" w:cs="Arial"/>
        </w:rPr>
        <w:t xml:space="preserve"> (61</w:t>
      </w:r>
      <w:r w:rsidR="00D019C6" w:rsidRPr="001D2ADB">
        <w:rPr>
          <w:rFonts w:ascii="Arial" w:hAnsi="Arial" w:cs="Arial"/>
        </w:rPr>
        <w:t>)</w:t>
      </w:r>
      <w:r w:rsidR="00943F2A" w:rsidRPr="001D2ADB">
        <w:rPr>
          <w:rFonts w:ascii="Arial" w:hAnsi="Arial" w:cs="Arial"/>
        </w:rPr>
        <w:t>.</w:t>
      </w:r>
    </w:p>
    <w:p w14:paraId="16B4EB4C" w14:textId="77777777" w:rsidR="00D019C6" w:rsidRPr="001D2ADB" w:rsidRDefault="00D019C6" w:rsidP="001D2ADB">
      <w:pPr>
        <w:spacing w:after="0"/>
        <w:rPr>
          <w:rFonts w:ascii="Arial" w:hAnsi="Arial" w:cs="Arial"/>
        </w:rPr>
      </w:pPr>
    </w:p>
    <w:p w14:paraId="0EE35EB1" w14:textId="0C4EFFE2" w:rsidR="005F1B6B" w:rsidRPr="001D2ADB" w:rsidRDefault="005F1B6B" w:rsidP="001D2ADB">
      <w:pPr>
        <w:spacing w:after="0"/>
        <w:rPr>
          <w:rFonts w:ascii="Arial" w:hAnsi="Arial" w:cs="Arial"/>
        </w:rPr>
      </w:pPr>
      <w:r w:rsidRPr="001D2ADB">
        <w:rPr>
          <w:rFonts w:ascii="Arial" w:hAnsi="Arial" w:cs="Arial"/>
        </w:rPr>
        <w:t>Khorshidi and associates performed a systematic review and meta-analysis of the effect of omega-3 supplementation on lipid profile</w:t>
      </w:r>
      <w:r w:rsidR="006459B7" w:rsidRPr="001D2ADB">
        <w:rPr>
          <w:rFonts w:ascii="Arial" w:hAnsi="Arial" w:cs="Arial"/>
        </w:rPr>
        <w:t>s</w:t>
      </w:r>
      <w:r w:rsidRPr="001D2ADB">
        <w:rPr>
          <w:rFonts w:ascii="Arial" w:hAnsi="Arial" w:cs="Arial"/>
        </w:rPr>
        <w:t xml:space="preserve"> in children and adolescents. They found that omega-3 supplementation improved triglyceride levels in patients diagnosed with hypertriglyceridemia </w:t>
      </w:r>
      <w:r w:rsidR="006459B7" w:rsidRPr="001D2ADB">
        <w:rPr>
          <w:rFonts w:ascii="Arial" w:hAnsi="Arial" w:cs="Arial"/>
        </w:rPr>
        <w:t>that were less than</w:t>
      </w:r>
      <w:r w:rsidR="006F1B65" w:rsidRPr="001D2ADB">
        <w:rPr>
          <w:rFonts w:ascii="Arial" w:hAnsi="Arial" w:cs="Arial"/>
        </w:rPr>
        <w:t xml:space="preserve"> or equal to</w:t>
      </w:r>
      <w:r w:rsidRPr="001D2ADB">
        <w:rPr>
          <w:rFonts w:ascii="Arial" w:hAnsi="Arial" w:cs="Arial"/>
        </w:rPr>
        <w:t xml:space="preserve"> 13 years of age</w:t>
      </w:r>
      <w:r w:rsidR="007D0DE3" w:rsidRPr="001D2ADB">
        <w:rPr>
          <w:rFonts w:ascii="Arial" w:hAnsi="Arial" w:cs="Arial"/>
        </w:rPr>
        <w:t>; h</w:t>
      </w:r>
      <w:r w:rsidRPr="001D2ADB">
        <w:rPr>
          <w:rFonts w:ascii="Arial" w:hAnsi="Arial" w:cs="Arial"/>
        </w:rPr>
        <w:t>owever, there was no significant effect seen in HDL, LDL</w:t>
      </w:r>
      <w:r w:rsidR="007D0DE3" w:rsidRPr="001D2ADB">
        <w:rPr>
          <w:rFonts w:ascii="Arial" w:hAnsi="Arial" w:cs="Arial"/>
        </w:rPr>
        <w:t>,</w:t>
      </w:r>
      <w:r w:rsidRPr="001D2ADB">
        <w:rPr>
          <w:rFonts w:ascii="Arial" w:hAnsi="Arial" w:cs="Arial"/>
        </w:rPr>
        <w:t xml:space="preserve"> or TC values</w:t>
      </w:r>
      <w:r w:rsidR="00D019C6" w:rsidRPr="001D2ADB">
        <w:rPr>
          <w:rFonts w:ascii="Arial" w:hAnsi="Arial" w:cs="Arial"/>
        </w:rPr>
        <w:t xml:space="preserve"> (6</w:t>
      </w:r>
      <w:r w:rsidR="00F675E1" w:rsidRPr="001D2ADB">
        <w:rPr>
          <w:rFonts w:ascii="Arial" w:hAnsi="Arial" w:cs="Arial"/>
        </w:rPr>
        <w:t>2</w:t>
      </w:r>
      <w:r w:rsidR="00D019C6" w:rsidRPr="001D2ADB">
        <w:rPr>
          <w:rFonts w:ascii="Arial" w:hAnsi="Arial" w:cs="Arial"/>
        </w:rPr>
        <w:t>)</w:t>
      </w:r>
      <w:r w:rsidRPr="001D2ADB">
        <w:rPr>
          <w:rFonts w:ascii="Arial" w:hAnsi="Arial" w:cs="Arial"/>
        </w:rPr>
        <w:t xml:space="preserve">. Omega-3 fish oils </w:t>
      </w:r>
      <w:r w:rsidR="005E3B79" w:rsidRPr="001D2ADB">
        <w:rPr>
          <w:rFonts w:ascii="Arial" w:hAnsi="Arial" w:cs="Arial"/>
        </w:rPr>
        <w:t>can be consider</w:t>
      </w:r>
      <w:r w:rsidR="009C0A74" w:rsidRPr="001D2ADB">
        <w:rPr>
          <w:rFonts w:ascii="Arial" w:hAnsi="Arial" w:cs="Arial"/>
        </w:rPr>
        <w:t>ed</w:t>
      </w:r>
      <w:r w:rsidR="005E3B79" w:rsidRPr="001D2ADB">
        <w:rPr>
          <w:rFonts w:ascii="Arial" w:hAnsi="Arial" w:cs="Arial"/>
        </w:rPr>
        <w:t xml:space="preserve"> in those who have elevated triglyceride levels.</w:t>
      </w:r>
    </w:p>
    <w:p w14:paraId="3A96F626" w14:textId="77777777" w:rsidR="00474DCD" w:rsidRPr="001D2ADB" w:rsidRDefault="00474DCD" w:rsidP="001D2ADB">
      <w:pPr>
        <w:spacing w:after="0"/>
        <w:rPr>
          <w:rFonts w:ascii="Arial" w:hAnsi="Arial" w:cs="Arial"/>
        </w:rPr>
      </w:pPr>
    </w:p>
    <w:p w14:paraId="6FD2C1F3" w14:textId="3CE1777F" w:rsidR="005F7C63" w:rsidRPr="001D2ADB" w:rsidRDefault="006D6688" w:rsidP="001D2ADB">
      <w:pPr>
        <w:spacing w:after="0"/>
        <w:rPr>
          <w:rFonts w:ascii="Arial" w:hAnsi="Arial" w:cs="Arial"/>
          <w:b/>
          <w:bCs/>
          <w:color w:val="0070C0"/>
        </w:rPr>
      </w:pPr>
      <w:r w:rsidRPr="001D2ADB">
        <w:rPr>
          <w:rFonts w:ascii="Arial" w:hAnsi="Arial" w:cs="Arial"/>
          <w:b/>
          <w:bCs/>
          <w:color w:val="0070C0"/>
        </w:rPr>
        <w:t xml:space="preserve">FAMILIAL HYPERCHOLESTEROLEMIA AND </w:t>
      </w:r>
      <w:r w:rsidR="00562E32" w:rsidRPr="001D2ADB">
        <w:rPr>
          <w:rFonts w:ascii="Arial" w:hAnsi="Arial" w:cs="Arial"/>
          <w:b/>
          <w:bCs/>
          <w:color w:val="0070C0"/>
        </w:rPr>
        <w:t>THERAPEUTIC ADVANCES</w:t>
      </w:r>
    </w:p>
    <w:p w14:paraId="1FFC9550" w14:textId="77777777" w:rsidR="00443190" w:rsidRPr="001D2ADB" w:rsidRDefault="00443190" w:rsidP="001D2ADB">
      <w:pPr>
        <w:spacing w:after="0"/>
        <w:rPr>
          <w:rFonts w:ascii="Arial" w:hAnsi="Arial" w:cs="Arial"/>
        </w:rPr>
      </w:pPr>
    </w:p>
    <w:p w14:paraId="3BD2AFE4" w14:textId="479B0184" w:rsidR="00443190" w:rsidRPr="001D2ADB" w:rsidRDefault="00443190" w:rsidP="001D2ADB">
      <w:pPr>
        <w:spacing w:after="0"/>
        <w:rPr>
          <w:rFonts w:ascii="Arial" w:hAnsi="Arial" w:cs="Arial"/>
        </w:rPr>
      </w:pPr>
      <w:r w:rsidRPr="001D2ADB">
        <w:rPr>
          <w:rFonts w:ascii="Arial" w:hAnsi="Arial" w:cs="Arial"/>
        </w:rPr>
        <w:t>Familial hypercholesterolemia (FH) is a common, but often misdiagnosed inherited gene disorder (6</w:t>
      </w:r>
      <w:r w:rsidR="00F675E1" w:rsidRPr="001D2ADB">
        <w:rPr>
          <w:rFonts w:ascii="Arial" w:hAnsi="Arial" w:cs="Arial"/>
        </w:rPr>
        <w:t>3</w:t>
      </w:r>
      <w:r w:rsidRPr="001D2ADB">
        <w:rPr>
          <w:rFonts w:ascii="Arial" w:hAnsi="Arial" w:cs="Arial"/>
        </w:rPr>
        <w:t>). The most common gene mutation seen in FH is in the low-density lipoprotein receptor gene (LDLR) accounting for 85-90% of cases, followed by the apolipoprotein (ApoB) gene (5-15% of cases) and the proprotein convertase subtilisin kexin 9 (PCSK9) genes (1% of cases) (6</w:t>
      </w:r>
      <w:r w:rsidR="00F675E1" w:rsidRPr="001D2ADB">
        <w:rPr>
          <w:rFonts w:ascii="Arial" w:hAnsi="Arial" w:cs="Arial"/>
        </w:rPr>
        <w:t>3</w:t>
      </w:r>
      <w:r w:rsidRPr="001D2ADB">
        <w:rPr>
          <w:rFonts w:ascii="Arial" w:hAnsi="Arial" w:cs="Arial"/>
        </w:rPr>
        <w:t>, 6</w:t>
      </w:r>
      <w:r w:rsidR="00F675E1" w:rsidRPr="001D2ADB">
        <w:rPr>
          <w:rFonts w:ascii="Arial" w:hAnsi="Arial" w:cs="Arial"/>
        </w:rPr>
        <w:t>4</w:t>
      </w:r>
      <w:r w:rsidRPr="001D2ADB">
        <w:rPr>
          <w:rFonts w:ascii="Arial" w:hAnsi="Arial" w:cs="Arial"/>
        </w:rPr>
        <w:t>). Patients who are diagnosed with FH have abnormally elevated LDL levels from birth. FH is associated with a twenty-fold increased risk in premature cardiovascular disease and cardiovascular events (6</w:t>
      </w:r>
      <w:r w:rsidR="00F675E1" w:rsidRPr="001D2ADB">
        <w:rPr>
          <w:rFonts w:ascii="Arial" w:hAnsi="Arial" w:cs="Arial"/>
        </w:rPr>
        <w:t>5</w:t>
      </w:r>
      <w:r w:rsidRPr="001D2ADB">
        <w:rPr>
          <w:rFonts w:ascii="Arial" w:hAnsi="Arial" w:cs="Arial"/>
        </w:rPr>
        <w:t>). There are two different types of FH, heterozygous (HeFH) and homozygous (HoFH). Heterozygous patients have one mutated allele and are more commonly seen in practice, while homozygous patients have two mutated alleles and are very rare (6</w:t>
      </w:r>
      <w:r w:rsidR="00F675E1" w:rsidRPr="001D2ADB">
        <w:rPr>
          <w:rFonts w:ascii="Arial" w:hAnsi="Arial" w:cs="Arial"/>
        </w:rPr>
        <w:t>6</w:t>
      </w:r>
      <w:r w:rsidRPr="001D2ADB">
        <w:rPr>
          <w:rFonts w:ascii="Arial" w:hAnsi="Arial" w:cs="Arial"/>
        </w:rPr>
        <w:t>). Distinction between the two types is imperative because HoFH patients tend to be treatment resistant and carry a worse prognosis, if left untreated, these patients rarely make it past age 20 (6</w:t>
      </w:r>
      <w:r w:rsidR="00F675E1" w:rsidRPr="001D2ADB">
        <w:rPr>
          <w:rFonts w:ascii="Arial" w:hAnsi="Arial" w:cs="Arial"/>
        </w:rPr>
        <w:t>6</w:t>
      </w:r>
      <w:r w:rsidRPr="001D2ADB">
        <w:rPr>
          <w:rFonts w:ascii="Arial" w:hAnsi="Arial" w:cs="Arial"/>
        </w:rPr>
        <w:t xml:space="preserve">). </w:t>
      </w:r>
    </w:p>
    <w:p w14:paraId="1CB29F76" w14:textId="77777777" w:rsidR="00443190" w:rsidRPr="001D2ADB" w:rsidRDefault="00443190" w:rsidP="001D2ADB">
      <w:pPr>
        <w:spacing w:after="0"/>
        <w:rPr>
          <w:rFonts w:ascii="Arial" w:hAnsi="Arial" w:cs="Arial"/>
        </w:rPr>
      </w:pPr>
    </w:p>
    <w:p w14:paraId="0B9C3F59" w14:textId="4E49C602" w:rsidR="00443190" w:rsidRPr="001D2ADB" w:rsidRDefault="00443190" w:rsidP="001D2ADB">
      <w:pPr>
        <w:spacing w:after="0"/>
        <w:rPr>
          <w:rFonts w:ascii="Arial" w:hAnsi="Arial" w:cs="Arial"/>
        </w:rPr>
      </w:pPr>
      <w:r w:rsidRPr="001D2ADB">
        <w:rPr>
          <w:rFonts w:ascii="Arial" w:hAnsi="Arial" w:cs="Arial"/>
        </w:rPr>
        <w:t>Lipid lowering in these patients can be quite challenging, especially HoFH patients. Most typical therapies for lipid lowering require functional LDL receptors, therefore given the gene mutations which often render the receptors inactive, modest reductions of 10-25% in HoFH patients are usually all that will be gained (6</w:t>
      </w:r>
      <w:r w:rsidR="00F675E1" w:rsidRPr="001D2ADB">
        <w:rPr>
          <w:rFonts w:ascii="Arial" w:hAnsi="Arial" w:cs="Arial"/>
        </w:rPr>
        <w:t>7</w:t>
      </w:r>
      <w:r w:rsidRPr="001D2ADB">
        <w:rPr>
          <w:rFonts w:ascii="Arial" w:hAnsi="Arial" w:cs="Arial"/>
        </w:rPr>
        <w:t>). HeFH patients tend to see higher rates of reduction (25-40%) (6</w:t>
      </w:r>
      <w:r w:rsidR="00F675E1" w:rsidRPr="001D2ADB">
        <w:rPr>
          <w:rFonts w:ascii="Arial" w:hAnsi="Arial" w:cs="Arial"/>
        </w:rPr>
        <w:t>8</w:t>
      </w:r>
      <w:r w:rsidRPr="001D2ADB">
        <w:rPr>
          <w:rFonts w:ascii="Arial" w:hAnsi="Arial" w:cs="Arial"/>
        </w:rPr>
        <w:t>). However, first line treatment for both forms of FH is still high-intensity statin therapy at moderate to high doses to be initiated as early as age 8 (6</w:t>
      </w:r>
      <w:r w:rsidR="00F675E1" w:rsidRPr="001D2ADB">
        <w:rPr>
          <w:rFonts w:ascii="Arial" w:hAnsi="Arial" w:cs="Arial"/>
        </w:rPr>
        <w:t>9</w:t>
      </w:r>
      <w:r w:rsidRPr="001D2ADB">
        <w:rPr>
          <w:rFonts w:ascii="Arial" w:hAnsi="Arial" w:cs="Arial"/>
        </w:rPr>
        <w:t>). All seven statins are FDA-approved for the treatment of FH and have been proven to slow down the progression of carotid intima-media thickness (6</w:t>
      </w:r>
      <w:r w:rsidR="00F675E1" w:rsidRPr="001D2ADB">
        <w:rPr>
          <w:rFonts w:ascii="Arial" w:hAnsi="Arial" w:cs="Arial"/>
        </w:rPr>
        <w:t>3</w:t>
      </w:r>
      <w:r w:rsidRPr="001D2ADB">
        <w:rPr>
          <w:rFonts w:ascii="Arial" w:hAnsi="Arial" w:cs="Arial"/>
        </w:rPr>
        <w:t>). Statins also reduce the incidence of cardiovascular events and cardiac death (6</w:t>
      </w:r>
      <w:r w:rsidR="00F675E1" w:rsidRPr="001D2ADB">
        <w:rPr>
          <w:rFonts w:ascii="Arial" w:hAnsi="Arial" w:cs="Arial"/>
        </w:rPr>
        <w:t>3</w:t>
      </w:r>
      <w:r w:rsidRPr="001D2ADB">
        <w:rPr>
          <w:rFonts w:ascii="Arial" w:hAnsi="Arial" w:cs="Arial"/>
        </w:rPr>
        <w:t xml:space="preserve">). Until recently, long term data on the use of statins in this patient population was not available, but in 2019, a 20-year follow-up study of statins in pediatric patients with FH </w:t>
      </w:r>
      <w:r w:rsidRPr="001D2ADB">
        <w:rPr>
          <w:rFonts w:ascii="Arial" w:hAnsi="Arial" w:cs="Arial"/>
        </w:rPr>
        <w:lastRenderedPageBreak/>
        <w:t>was published (</w:t>
      </w:r>
      <w:r w:rsidR="00F675E1" w:rsidRPr="001D2ADB">
        <w:rPr>
          <w:rFonts w:ascii="Arial" w:hAnsi="Arial" w:cs="Arial"/>
        </w:rPr>
        <w:t>70</w:t>
      </w:r>
      <w:r w:rsidRPr="001D2ADB">
        <w:rPr>
          <w:rFonts w:ascii="Arial" w:hAnsi="Arial" w:cs="Arial"/>
        </w:rPr>
        <w:t>). The results found that the incidence of cardiovascular events and death was much lower in patients treated with statins (</w:t>
      </w:r>
      <w:r w:rsidR="00F675E1" w:rsidRPr="001D2ADB">
        <w:rPr>
          <w:rFonts w:ascii="Arial" w:hAnsi="Arial" w:cs="Arial"/>
        </w:rPr>
        <w:t>70</w:t>
      </w:r>
      <w:r w:rsidRPr="001D2ADB">
        <w:rPr>
          <w:rFonts w:ascii="Arial" w:hAnsi="Arial" w:cs="Arial"/>
        </w:rPr>
        <w:t xml:space="preserve">). If LDL-C goals are not being met with the use of statins alone, the next recommend agent is ezetimibe; however, this should not be used in patients younger than 10 years of age (59). </w:t>
      </w:r>
    </w:p>
    <w:p w14:paraId="0436E5C5" w14:textId="77777777" w:rsidR="00443190" w:rsidRPr="001D2ADB" w:rsidRDefault="00443190" w:rsidP="001D2ADB">
      <w:pPr>
        <w:spacing w:after="0"/>
        <w:rPr>
          <w:rFonts w:ascii="Arial" w:hAnsi="Arial" w:cs="Arial"/>
        </w:rPr>
      </w:pPr>
    </w:p>
    <w:p w14:paraId="49195F07" w14:textId="7CCD07A8" w:rsidR="00443190" w:rsidRPr="001D2ADB" w:rsidRDefault="00443190" w:rsidP="001D2ADB">
      <w:pPr>
        <w:spacing w:after="0"/>
        <w:rPr>
          <w:rFonts w:ascii="Arial" w:hAnsi="Arial" w:cs="Arial"/>
        </w:rPr>
      </w:pPr>
      <w:r w:rsidRPr="001D2ADB">
        <w:rPr>
          <w:rFonts w:ascii="Arial" w:hAnsi="Arial" w:cs="Arial"/>
        </w:rPr>
        <w:t>Ezetimibe is the second-line option to statins in these patients. It’s use in combination with statins has demonstrated a reduction of LDL-C levels below 135 in more than 90% of children with FH (</w:t>
      </w:r>
      <w:r w:rsidR="00F675E1" w:rsidRPr="001D2ADB">
        <w:rPr>
          <w:rFonts w:ascii="Arial" w:hAnsi="Arial" w:cs="Arial"/>
        </w:rPr>
        <w:t>71</w:t>
      </w:r>
      <w:r w:rsidRPr="001D2ADB">
        <w:rPr>
          <w:rFonts w:ascii="Arial" w:hAnsi="Arial" w:cs="Arial"/>
        </w:rPr>
        <w:t>). In one of the only studies that assessed the coadministration of simvastatin and ezetimibe in children with HeFH, it was found to be safe, well tolerated and provided a higher LDL reduction (15%) compared with simvastatin alone in HeFH patients (7</w:t>
      </w:r>
      <w:r w:rsidR="00F675E1" w:rsidRPr="001D2ADB">
        <w:rPr>
          <w:rFonts w:ascii="Arial" w:hAnsi="Arial" w:cs="Arial"/>
        </w:rPr>
        <w:t>2</w:t>
      </w:r>
      <w:r w:rsidRPr="001D2ADB">
        <w:rPr>
          <w:rFonts w:ascii="Arial" w:hAnsi="Arial" w:cs="Arial"/>
        </w:rPr>
        <w:t>). However, when it was investigated as a monotherapy option for children with HeFH, it only produced LDL-C lowering of 27% (</w:t>
      </w:r>
      <w:r w:rsidR="00F675E1" w:rsidRPr="001D2ADB">
        <w:rPr>
          <w:rFonts w:ascii="Arial" w:hAnsi="Arial" w:cs="Arial"/>
        </w:rPr>
        <w:t>71</w:t>
      </w:r>
      <w:r w:rsidRPr="001D2ADB">
        <w:rPr>
          <w:rFonts w:ascii="Arial" w:hAnsi="Arial" w:cs="Arial"/>
        </w:rPr>
        <w:t>, 7</w:t>
      </w:r>
      <w:r w:rsidR="00F675E1" w:rsidRPr="001D2ADB">
        <w:rPr>
          <w:rFonts w:ascii="Arial" w:hAnsi="Arial" w:cs="Arial"/>
        </w:rPr>
        <w:t>3</w:t>
      </w:r>
      <w:r w:rsidRPr="001D2ADB">
        <w:rPr>
          <w:rFonts w:ascii="Arial" w:hAnsi="Arial" w:cs="Arial"/>
        </w:rPr>
        <w:t>). It is more appropriate to use as an adjunct therapy in this population of patients.</w:t>
      </w:r>
    </w:p>
    <w:p w14:paraId="6D5F6CAD" w14:textId="77777777" w:rsidR="00443190" w:rsidRPr="001D2ADB" w:rsidRDefault="00443190" w:rsidP="001D2ADB">
      <w:pPr>
        <w:spacing w:after="0"/>
        <w:rPr>
          <w:rFonts w:ascii="Arial" w:hAnsi="Arial" w:cs="Arial"/>
        </w:rPr>
      </w:pPr>
    </w:p>
    <w:p w14:paraId="00D92096" w14:textId="6978DF55" w:rsidR="00443190" w:rsidRDefault="00443190" w:rsidP="001D2ADB">
      <w:pPr>
        <w:spacing w:after="0"/>
        <w:rPr>
          <w:rFonts w:ascii="Arial" w:hAnsi="Arial" w:cs="Arial"/>
        </w:rPr>
      </w:pPr>
      <w:r w:rsidRPr="001D2ADB">
        <w:rPr>
          <w:rFonts w:ascii="Arial" w:hAnsi="Arial" w:cs="Arial"/>
        </w:rPr>
        <w:t>Alternative medications that can be considered other second-line options are bile acid sequestrants (</w:t>
      </w:r>
      <w:r w:rsidR="00F675E1" w:rsidRPr="001D2ADB">
        <w:rPr>
          <w:rFonts w:ascii="Arial" w:hAnsi="Arial" w:cs="Arial"/>
        </w:rPr>
        <w:t>71</w:t>
      </w:r>
      <w:r w:rsidRPr="001D2ADB">
        <w:rPr>
          <w:rFonts w:ascii="Arial" w:hAnsi="Arial" w:cs="Arial"/>
        </w:rPr>
        <w:t>). Colesevelam is safe to use, but limited to children &gt;10 years of age (</w:t>
      </w:r>
      <w:r w:rsidR="00F675E1" w:rsidRPr="001D2ADB">
        <w:rPr>
          <w:rFonts w:ascii="Arial" w:hAnsi="Arial" w:cs="Arial"/>
        </w:rPr>
        <w:t>71</w:t>
      </w:r>
      <w:r w:rsidRPr="001D2ADB">
        <w:rPr>
          <w:rFonts w:ascii="Arial" w:hAnsi="Arial" w:cs="Arial"/>
        </w:rPr>
        <w:t>). These drugs however have minimal LDL-C lowering effects, usually only seeing a 10-20% reduction, and more importantly are very poorly tolerated due to gastrointestinal side effects (</w:t>
      </w:r>
      <w:r w:rsidR="00F675E1" w:rsidRPr="001D2ADB">
        <w:rPr>
          <w:rFonts w:ascii="Arial" w:hAnsi="Arial" w:cs="Arial"/>
        </w:rPr>
        <w:t>71</w:t>
      </w:r>
      <w:r w:rsidRPr="001D2ADB">
        <w:rPr>
          <w:rFonts w:ascii="Arial" w:hAnsi="Arial" w:cs="Arial"/>
        </w:rPr>
        <w:t>).</w:t>
      </w:r>
    </w:p>
    <w:p w14:paraId="513E984A" w14:textId="77777777" w:rsidR="00C2798A" w:rsidRDefault="00C2798A" w:rsidP="001D2ADB">
      <w:pPr>
        <w:spacing w:after="0"/>
        <w:rPr>
          <w:rFonts w:ascii="Arial" w:hAnsi="Arial" w:cs="Arial"/>
        </w:rPr>
      </w:pPr>
    </w:p>
    <w:p w14:paraId="6AC67CA2" w14:textId="6863AEFF" w:rsidR="00C2798A" w:rsidRPr="00C2798A" w:rsidRDefault="00C2798A" w:rsidP="001D2ADB">
      <w:pPr>
        <w:spacing w:after="0"/>
        <w:rPr>
          <w:rFonts w:ascii="Arial" w:hAnsi="Arial" w:cs="Arial"/>
          <w:b/>
          <w:bCs/>
          <w:color w:val="00B050"/>
        </w:rPr>
      </w:pPr>
      <w:r w:rsidRPr="00C2798A">
        <w:rPr>
          <w:rFonts w:ascii="Arial" w:hAnsi="Arial" w:cs="Arial"/>
          <w:b/>
          <w:bCs/>
          <w:color w:val="00B050"/>
        </w:rPr>
        <w:t>PCSK9 Inhibitors</w:t>
      </w:r>
    </w:p>
    <w:p w14:paraId="24C3D829" w14:textId="77777777" w:rsidR="00443190" w:rsidRPr="001D2ADB" w:rsidRDefault="00443190" w:rsidP="001D2ADB">
      <w:pPr>
        <w:spacing w:after="0"/>
        <w:rPr>
          <w:rFonts w:ascii="Arial" w:hAnsi="Arial" w:cs="Arial"/>
        </w:rPr>
      </w:pPr>
    </w:p>
    <w:p w14:paraId="0848632F" w14:textId="3A837C1D" w:rsidR="00443190" w:rsidRPr="001D2ADB" w:rsidRDefault="00443190" w:rsidP="001D2ADB">
      <w:pPr>
        <w:spacing w:after="0"/>
        <w:rPr>
          <w:rFonts w:ascii="Arial" w:hAnsi="Arial" w:cs="Arial"/>
        </w:rPr>
      </w:pPr>
      <w:r w:rsidRPr="001D2ADB">
        <w:rPr>
          <w:rFonts w:ascii="Arial" w:hAnsi="Arial" w:cs="Arial"/>
          <w:shd w:val="clear" w:color="auto" w:fill="FFFFFF"/>
        </w:rPr>
        <w:t>Given the difficulty and importance of treating these patients, especially those with HoFH, there is a need for stronger lipid lowering options, which is where PCSK9 inhibitors come into play. These are a more recent class addition to the therapy options for managing FH, which help to reduce the degradation of LDL receptors and the removal of LDL-cholesterol (7</w:t>
      </w:r>
      <w:r w:rsidR="00F675E1" w:rsidRPr="001D2ADB">
        <w:rPr>
          <w:rFonts w:ascii="Arial" w:hAnsi="Arial" w:cs="Arial"/>
          <w:shd w:val="clear" w:color="auto" w:fill="FFFFFF"/>
        </w:rPr>
        <w:t>4</w:t>
      </w:r>
      <w:r w:rsidRPr="001D2ADB">
        <w:rPr>
          <w:rFonts w:ascii="Arial" w:hAnsi="Arial" w:cs="Arial"/>
          <w:shd w:val="clear" w:color="auto" w:fill="FFFFFF"/>
        </w:rPr>
        <w:t xml:space="preserve">). </w:t>
      </w:r>
      <w:r w:rsidRPr="001D2ADB">
        <w:rPr>
          <w:rFonts w:ascii="Arial" w:hAnsi="Arial" w:cs="Arial"/>
        </w:rPr>
        <w:t>In a recent study assessing the efficacy/safety of lipid-lowering agents in patients with familial hypercholesterolemia, it was concluded that PCSK9 inhibitors were the most effective in lowering lipid levels (7</w:t>
      </w:r>
      <w:r w:rsidR="00F675E1" w:rsidRPr="001D2ADB">
        <w:rPr>
          <w:rFonts w:ascii="Arial" w:hAnsi="Arial" w:cs="Arial"/>
        </w:rPr>
        <w:t>5</w:t>
      </w:r>
      <w:r w:rsidRPr="001D2ADB">
        <w:rPr>
          <w:rFonts w:ascii="Arial" w:hAnsi="Arial" w:cs="Arial"/>
        </w:rPr>
        <w:t>). They have none of the same side effects as statins and produced similar CV benefits. Therefore, based on these conclusions, PCSK9 inhibitors are recommended as first-line agents in patients with hypercholesteremia that have intolerances or resistance to statins (7</w:t>
      </w:r>
      <w:r w:rsidR="00F675E1" w:rsidRPr="001D2ADB">
        <w:rPr>
          <w:rFonts w:ascii="Arial" w:hAnsi="Arial" w:cs="Arial"/>
        </w:rPr>
        <w:t>5</w:t>
      </w:r>
      <w:r w:rsidRPr="001D2ADB">
        <w:rPr>
          <w:rFonts w:ascii="Arial" w:hAnsi="Arial" w:cs="Arial"/>
        </w:rPr>
        <w:t>). There is currently one PCSK9 inhibitor approved for pediatric use. Repatha (evolocumab) was originally approved for use in patients 13 years of age and older (7</w:t>
      </w:r>
      <w:r w:rsidR="00F675E1" w:rsidRPr="001D2ADB">
        <w:rPr>
          <w:rFonts w:ascii="Arial" w:hAnsi="Arial" w:cs="Arial"/>
        </w:rPr>
        <w:t>6</w:t>
      </w:r>
      <w:r w:rsidRPr="001D2ADB">
        <w:rPr>
          <w:rFonts w:ascii="Arial" w:hAnsi="Arial" w:cs="Arial"/>
        </w:rPr>
        <w:t>), but the HAUSER-RCT study assessed the use of Repatha in patients ages 10-17 years of age for 24 weeks. It showed that the drug improved lipid levels (by approximately 38% in HeFH patients and 21-24% in HoFH patients) and was safe for use as the incidence of adverse events was similar in both the drug and placebo groups (</w:t>
      </w:r>
      <w:r w:rsidR="00F675E1" w:rsidRPr="001D2ADB">
        <w:rPr>
          <w:rFonts w:ascii="Arial" w:hAnsi="Arial" w:cs="Arial"/>
        </w:rPr>
        <w:t>71</w:t>
      </w:r>
      <w:r w:rsidRPr="001D2ADB">
        <w:rPr>
          <w:rFonts w:ascii="Arial" w:hAnsi="Arial" w:cs="Arial"/>
        </w:rPr>
        <w:t>, 7</w:t>
      </w:r>
      <w:r w:rsidR="00F675E1" w:rsidRPr="001D2ADB">
        <w:rPr>
          <w:rFonts w:ascii="Arial" w:hAnsi="Arial" w:cs="Arial"/>
        </w:rPr>
        <w:t>7</w:t>
      </w:r>
      <w:r w:rsidRPr="001D2ADB">
        <w:rPr>
          <w:rFonts w:ascii="Arial" w:hAnsi="Arial" w:cs="Arial"/>
        </w:rPr>
        <w:t>). So now it is considered safe to use in pediatric patients 10 years of age and older. The HAUSER-RCT trial was then continued for another 80 weeks to further assess the safety and efficacy of Repatha (7</w:t>
      </w:r>
      <w:r w:rsidR="00F675E1" w:rsidRPr="001D2ADB">
        <w:rPr>
          <w:rFonts w:ascii="Arial" w:hAnsi="Arial" w:cs="Arial"/>
        </w:rPr>
        <w:t>8</w:t>
      </w:r>
      <w:r w:rsidRPr="001D2ADB">
        <w:rPr>
          <w:rFonts w:ascii="Arial" w:hAnsi="Arial" w:cs="Arial"/>
        </w:rPr>
        <w:t>). This new trial, HAUSER-OLE, further confirmed that the drug was safe and well-tolerated (7</w:t>
      </w:r>
      <w:r w:rsidR="00F675E1" w:rsidRPr="001D2ADB">
        <w:rPr>
          <w:rFonts w:ascii="Arial" w:hAnsi="Arial" w:cs="Arial"/>
        </w:rPr>
        <w:t>8</w:t>
      </w:r>
      <w:r w:rsidRPr="001D2ADB">
        <w:rPr>
          <w:rFonts w:ascii="Arial" w:hAnsi="Arial" w:cs="Arial"/>
        </w:rPr>
        <w:t xml:space="preserve">). </w:t>
      </w:r>
    </w:p>
    <w:p w14:paraId="5C11A939" w14:textId="77777777" w:rsidR="00443190" w:rsidRPr="001D2ADB" w:rsidRDefault="00443190" w:rsidP="001D2ADB">
      <w:pPr>
        <w:spacing w:after="0"/>
        <w:rPr>
          <w:rFonts w:ascii="Arial" w:hAnsi="Arial" w:cs="Arial"/>
        </w:rPr>
      </w:pPr>
    </w:p>
    <w:p w14:paraId="2C95D92C" w14:textId="17DFA120" w:rsidR="00443190" w:rsidRPr="001D2ADB" w:rsidRDefault="00443190" w:rsidP="001D2ADB">
      <w:pPr>
        <w:spacing w:after="0"/>
        <w:rPr>
          <w:rFonts w:ascii="Arial" w:hAnsi="Arial" w:cs="Arial"/>
        </w:rPr>
      </w:pPr>
      <w:r w:rsidRPr="001D2ADB">
        <w:rPr>
          <w:rFonts w:ascii="Arial" w:hAnsi="Arial" w:cs="Arial"/>
        </w:rPr>
        <w:t>Praluent (Alirocumab) is another PCSK9 inhibitor that is available for treatment of FH, however it is not currently approved for use in pediatric patients</w:t>
      </w:r>
      <w:r w:rsidR="00F675E1" w:rsidRPr="001D2ADB">
        <w:rPr>
          <w:rFonts w:ascii="Arial" w:hAnsi="Arial" w:cs="Arial"/>
        </w:rPr>
        <w:t xml:space="preserve"> (79)</w:t>
      </w:r>
      <w:r w:rsidRPr="001D2ADB">
        <w:rPr>
          <w:rFonts w:ascii="Arial" w:hAnsi="Arial" w:cs="Arial"/>
        </w:rPr>
        <w:t xml:space="preserve">. Nevertheless, there are studies currently assessing the safety and efficacy within this population. Bruckert and associates </w:t>
      </w:r>
      <w:r w:rsidRPr="001D2ADB">
        <w:rPr>
          <w:rFonts w:ascii="Arial" w:hAnsi="Arial" w:cs="Arial"/>
        </w:rPr>
        <w:lastRenderedPageBreak/>
        <w:t>utilized Praluent and conducted an open-label phase 3 study specifically in pediatric patients (8-17 years of age) diagnosed with HoFH that were inadequately controlled (</w:t>
      </w:r>
      <w:r w:rsidR="00F675E1" w:rsidRPr="001D2ADB">
        <w:rPr>
          <w:rFonts w:ascii="Arial" w:hAnsi="Arial" w:cs="Arial"/>
        </w:rPr>
        <w:t>80</w:t>
      </w:r>
      <w:r w:rsidRPr="001D2ADB">
        <w:rPr>
          <w:rFonts w:ascii="Arial" w:hAnsi="Arial" w:cs="Arial"/>
        </w:rPr>
        <w:t>). Patients received 75 or 150 mg of the drug based on weight (&lt;50 or &gt;50 kg, respectively) every 2 weeks for 12 weeks (</w:t>
      </w:r>
      <w:r w:rsidR="00F675E1" w:rsidRPr="001D2ADB">
        <w:rPr>
          <w:rFonts w:ascii="Arial" w:hAnsi="Arial" w:cs="Arial"/>
        </w:rPr>
        <w:t>80</w:t>
      </w:r>
      <w:r w:rsidRPr="001D2ADB">
        <w:rPr>
          <w:rFonts w:ascii="Arial" w:hAnsi="Arial" w:cs="Arial"/>
        </w:rPr>
        <w:t>). The primary endpoint was percent change in LDL-C levels from week 0 to 12 (</w:t>
      </w:r>
      <w:r w:rsidR="00F83F8F" w:rsidRPr="001D2ADB">
        <w:rPr>
          <w:rFonts w:ascii="Arial" w:hAnsi="Arial" w:cs="Arial"/>
        </w:rPr>
        <w:t>80</w:t>
      </w:r>
      <w:r w:rsidRPr="001D2ADB">
        <w:rPr>
          <w:rFonts w:ascii="Arial" w:hAnsi="Arial" w:cs="Arial"/>
        </w:rPr>
        <w:t>). Interestingly, the results showed only a 4.1% decrease in LDL-C levels by week 12 (</w:t>
      </w:r>
      <w:r w:rsidR="00F83F8F" w:rsidRPr="001D2ADB">
        <w:rPr>
          <w:rFonts w:ascii="Arial" w:hAnsi="Arial" w:cs="Arial"/>
        </w:rPr>
        <w:t>80</w:t>
      </w:r>
      <w:r w:rsidRPr="001D2ADB">
        <w:rPr>
          <w:rFonts w:ascii="Arial" w:hAnsi="Arial" w:cs="Arial"/>
        </w:rPr>
        <w:t>). The secondary endpoints (assessing percent change LDL-C levels from baseline to weeks 24 and 48, changes in other lipid parameters from baseline to weeks 12, 24, 48, patients with a reduction of more than 15% in LDL-C levels at weeks 12, 24 and 48, and absolute change in LDL-C from baseline to weeks 12, 24, and 48) produced incredibly variable results (</w:t>
      </w:r>
      <w:r w:rsidR="008074A7" w:rsidRPr="001D2ADB">
        <w:rPr>
          <w:rFonts w:ascii="Arial" w:hAnsi="Arial" w:cs="Arial"/>
        </w:rPr>
        <w:t>80</w:t>
      </w:r>
      <w:r w:rsidRPr="001D2ADB">
        <w:rPr>
          <w:rFonts w:ascii="Arial" w:hAnsi="Arial" w:cs="Arial"/>
        </w:rPr>
        <w:t>). Overall, there were quite small changes in LDL-C levels observed in this study with mean reductions of LDL-C levels noted to range anywhere from ~33 to 52 mg/dL (</w:t>
      </w:r>
      <w:r w:rsidR="008074A7" w:rsidRPr="001D2ADB">
        <w:rPr>
          <w:rFonts w:ascii="Arial" w:hAnsi="Arial" w:cs="Arial"/>
        </w:rPr>
        <w:t>80</w:t>
      </w:r>
      <w:r w:rsidRPr="001D2ADB">
        <w:rPr>
          <w:rFonts w:ascii="Arial" w:hAnsi="Arial" w:cs="Arial"/>
        </w:rPr>
        <w:t>). More importantly, previous studies have shown that PCSK9 inhibitors are linked to a decrease in major coronary/vascular events and all-cause mortality, so although the results produced small values, the changes seen are still clinically significant based on these added benefits (</w:t>
      </w:r>
      <w:r w:rsidR="008074A7" w:rsidRPr="001D2ADB">
        <w:rPr>
          <w:rFonts w:ascii="Arial" w:hAnsi="Arial" w:cs="Arial"/>
        </w:rPr>
        <w:t>80</w:t>
      </w:r>
      <w:r w:rsidRPr="001D2ADB">
        <w:rPr>
          <w:rFonts w:ascii="Arial" w:hAnsi="Arial" w:cs="Arial"/>
        </w:rPr>
        <w:t>). It was also noted that this study produced similar results when compared to the ODYSSEY study which assessed the use of Praluent in adult patients with HoFH (</w:t>
      </w:r>
      <w:r w:rsidR="008074A7" w:rsidRPr="001D2ADB">
        <w:rPr>
          <w:rFonts w:ascii="Arial" w:hAnsi="Arial" w:cs="Arial"/>
        </w:rPr>
        <w:t>80</w:t>
      </w:r>
      <w:r w:rsidRPr="001D2ADB">
        <w:rPr>
          <w:rFonts w:ascii="Arial" w:hAnsi="Arial" w:cs="Arial"/>
        </w:rPr>
        <w:t>). The drug was deemed safe and there were no issues with tolerability (</w:t>
      </w:r>
      <w:r w:rsidR="008074A7" w:rsidRPr="001D2ADB">
        <w:rPr>
          <w:rFonts w:ascii="Arial" w:hAnsi="Arial" w:cs="Arial"/>
        </w:rPr>
        <w:t>80</w:t>
      </w:r>
      <w:r w:rsidRPr="001D2ADB">
        <w:rPr>
          <w:rFonts w:ascii="Arial" w:hAnsi="Arial" w:cs="Arial"/>
        </w:rPr>
        <w:t>). The study supports the use of Praluent as an adjunct therapy in HoFH patients already on first- and second-line therapies and not reaching their goal LDL-C levels (</w:t>
      </w:r>
      <w:r w:rsidR="008074A7" w:rsidRPr="001D2ADB">
        <w:rPr>
          <w:rFonts w:ascii="Arial" w:hAnsi="Arial" w:cs="Arial"/>
        </w:rPr>
        <w:t>80</w:t>
      </w:r>
      <w:r w:rsidRPr="001D2ADB">
        <w:rPr>
          <w:rFonts w:ascii="Arial" w:hAnsi="Arial" w:cs="Arial"/>
        </w:rPr>
        <w:t xml:space="preserve">). </w:t>
      </w:r>
    </w:p>
    <w:p w14:paraId="00C98258" w14:textId="77777777" w:rsidR="008074A7" w:rsidRPr="001D2ADB" w:rsidRDefault="008074A7" w:rsidP="001D2ADB">
      <w:pPr>
        <w:spacing w:after="0"/>
        <w:rPr>
          <w:rFonts w:ascii="Arial" w:hAnsi="Arial" w:cs="Arial"/>
        </w:rPr>
      </w:pPr>
    </w:p>
    <w:p w14:paraId="0BB92688" w14:textId="7A551195" w:rsidR="00443190" w:rsidRPr="001D2ADB" w:rsidRDefault="00443190" w:rsidP="001D2ADB">
      <w:pPr>
        <w:spacing w:after="0"/>
        <w:rPr>
          <w:rFonts w:ascii="Arial" w:hAnsi="Arial" w:cs="Arial"/>
        </w:rPr>
      </w:pPr>
      <w:r w:rsidRPr="001D2ADB">
        <w:rPr>
          <w:rFonts w:ascii="Arial" w:hAnsi="Arial" w:cs="Arial"/>
        </w:rPr>
        <w:t>Another study assessed the use of Praluent in pediatric patients diagnosed with HeFH. The ODYSSEY KIDS study was a phase 2 dose-finding study that enrolled pediatric patients anywhere from 8-17 years of age (</w:t>
      </w:r>
      <w:r w:rsidR="008074A7" w:rsidRPr="001D2ADB">
        <w:rPr>
          <w:rFonts w:ascii="Arial" w:hAnsi="Arial" w:cs="Arial"/>
        </w:rPr>
        <w:t>81</w:t>
      </w:r>
      <w:r w:rsidRPr="001D2ADB">
        <w:rPr>
          <w:rFonts w:ascii="Arial" w:hAnsi="Arial" w:cs="Arial"/>
        </w:rPr>
        <w:t>). Patients were split into 4 cohorts and dosed every 2 weeks. Dosing was determined by weight and the primary endpoint assessed percent change in LDL-C from baseline to week 8 (</w:t>
      </w:r>
      <w:r w:rsidR="008074A7" w:rsidRPr="001D2ADB">
        <w:rPr>
          <w:rFonts w:ascii="Arial" w:hAnsi="Arial" w:cs="Arial"/>
        </w:rPr>
        <w:t>81</w:t>
      </w:r>
      <w:r w:rsidRPr="001D2ADB">
        <w:rPr>
          <w:rFonts w:ascii="Arial" w:hAnsi="Arial" w:cs="Arial"/>
        </w:rPr>
        <w:t>). Praluent demonstrated the best reduction in LDL-C levels in the highest dosed cohorts and was well-tolerated. This study also supported the use of the drug (with further analysis) in patients who require adjunct therapy, there is a phase 3 trial planned to assess the doses from this study that resulted in the greatest reduction in LDL-C levels. Overall, it is important to note that HoFH patients are more likely to fail PCKS9 inhibitors (</w:t>
      </w:r>
      <w:r w:rsidR="008074A7" w:rsidRPr="001D2ADB">
        <w:rPr>
          <w:rFonts w:ascii="Arial" w:hAnsi="Arial" w:cs="Arial"/>
        </w:rPr>
        <w:t>82</w:t>
      </w:r>
      <w:r w:rsidRPr="001D2ADB">
        <w:rPr>
          <w:rFonts w:ascii="Arial" w:hAnsi="Arial" w:cs="Arial"/>
        </w:rPr>
        <w:t>). This is attributable to their mechanism of action.  This class of medication requires functional LDL receptors, and this is impaired or completely absent in HOFH patients (</w:t>
      </w:r>
      <w:r w:rsidR="008074A7" w:rsidRPr="001D2ADB">
        <w:rPr>
          <w:rFonts w:ascii="Arial" w:hAnsi="Arial" w:cs="Arial"/>
        </w:rPr>
        <w:t>82</w:t>
      </w:r>
      <w:r w:rsidRPr="001D2ADB">
        <w:rPr>
          <w:rFonts w:ascii="Arial" w:hAnsi="Arial" w:cs="Arial"/>
        </w:rPr>
        <w:t>). Therefore, effectiveness of PCSK9 inhibitors tends to be much higher in HeFH patients (</w:t>
      </w:r>
      <w:r w:rsidR="008074A7" w:rsidRPr="001D2ADB">
        <w:rPr>
          <w:rFonts w:ascii="Arial" w:hAnsi="Arial" w:cs="Arial"/>
        </w:rPr>
        <w:t>82</w:t>
      </w:r>
      <w:r w:rsidRPr="001D2ADB">
        <w:rPr>
          <w:rFonts w:ascii="Arial" w:hAnsi="Arial" w:cs="Arial"/>
        </w:rPr>
        <w:t xml:space="preserve">). </w:t>
      </w:r>
    </w:p>
    <w:p w14:paraId="5907F610" w14:textId="77777777" w:rsidR="00443190" w:rsidRPr="001D2ADB" w:rsidRDefault="00443190" w:rsidP="001D2ADB">
      <w:pPr>
        <w:spacing w:after="0"/>
        <w:rPr>
          <w:rFonts w:ascii="Arial" w:hAnsi="Arial" w:cs="Arial"/>
        </w:rPr>
      </w:pPr>
    </w:p>
    <w:p w14:paraId="2177A8AB" w14:textId="3936273D" w:rsidR="00443190" w:rsidRPr="001D2ADB" w:rsidRDefault="00443190" w:rsidP="001D2ADB">
      <w:pPr>
        <w:spacing w:after="0"/>
        <w:rPr>
          <w:rFonts w:ascii="Arial" w:hAnsi="Arial" w:cs="Arial"/>
        </w:rPr>
      </w:pPr>
      <w:r w:rsidRPr="001D2ADB">
        <w:rPr>
          <w:rFonts w:ascii="Arial" w:hAnsi="Arial" w:cs="Arial"/>
        </w:rPr>
        <w:t>Leqvio (inclisiran) is also another PCSK9 inhibitor currently not approved for pediatric use</w:t>
      </w:r>
      <w:r w:rsidR="008074A7" w:rsidRPr="001D2ADB">
        <w:rPr>
          <w:rFonts w:ascii="Arial" w:hAnsi="Arial" w:cs="Arial"/>
        </w:rPr>
        <w:t xml:space="preserve"> (83)</w:t>
      </w:r>
      <w:r w:rsidRPr="001D2ADB">
        <w:rPr>
          <w:rFonts w:ascii="Arial" w:hAnsi="Arial" w:cs="Arial"/>
        </w:rPr>
        <w:t>. The mechanism of action of this drug differs from Repatha and Praluent. Leqvio is a small interfering RNA (siRNA) that utilizes the RNA interference mechanism to cause the catalytic breakdown of mRNA for PCSK9, thus stopping the translation of the protein (8</w:t>
      </w:r>
      <w:r w:rsidR="008074A7" w:rsidRPr="001D2ADB">
        <w:rPr>
          <w:rFonts w:ascii="Arial" w:hAnsi="Arial" w:cs="Arial"/>
        </w:rPr>
        <w:t>4</w:t>
      </w:r>
      <w:r w:rsidRPr="001D2ADB">
        <w:rPr>
          <w:rFonts w:ascii="Arial" w:hAnsi="Arial" w:cs="Arial"/>
        </w:rPr>
        <w:t>). It also only requires administration twice yearly as opposed to biweekly (8</w:t>
      </w:r>
      <w:r w:rsidR="008074A7" w:rsidRPr="001D2ADB">
        <w:rPr>
          <w:rFonts w:ascii="Arial" w:hAnsi="Arial" w:cs="Arial"/>
        </w:rPr>
        <w:t>4</w:t>
      </w:r>
      <w:r w:rsidRPr="001D2ADB">
        <w:rPr>
          <w:rFonts w:ascii="Arial" w:hAnsi="Arial" w:cs="Arial"/>
        </w:rPr>
        <w:t>). There are currently ongoing studies investigating the possibility of using Leqvio in pediatric patients. ORION-13 and ORION-16 are studies assessing the efficacy, safety and tolerability of Leqvio in pediatric patients diagnosed with HoFH and HeFH, respectively (8</w:t>
      </w:r>
      <w:r w:rsidR="008074A7" w:rsidRPr="001D2ADB">
        <w:rPr>
          <w:rFonts w:ascii="Arial" w:hAnsi="Arial" w:cs="Arial"/>
        </w:rPr>
        <w:t>4</w:t>
      </w:r>
      <w:r w:rsidRPr="001D2ADB">
        <w:rPr>
          <w:rFonts w:ascii="Arial" w:hAnsi="Arial" w:cs="Arial"/>
        </w:rPr>
        <w:t>). They are two-part (1-year double blind, the other year open-label) phase 3 trials consisting of patients aged 12 to &lt;18 years with FH (8</w:t>
      </w:r>
      <w:r w:rsidR="008074A7" w:rsidRPr="001D2ADB">
        <w:rPr>
          <w:rFonts w:ascii="Arial" w:hAnsi="Arial" w:cs="Arial"/>
        </w:rPr>
        <w:t>4</w:t>
      </w:r>
      <w:r w:rsidRPr="001D2ADB">
        <w:rPr>
          <w:rFonts w:ascii="Arial" w:hAnsi="Arial" w:cs="Arial"/>
        </w:rPr>
        <w:t>). The primary endpoint is the percentage change in LDL-C from baseline to day 330 (8</w:t>
      </w:r>
      <w:r w:rsidR="008074A7" w:rsidRPr="001D2ADB">
        <w:rPr>
          <w:rFonts w:ascii="Arial" w:hAnsi="Arial" w:cs="Arial"/>
        </w:rPr>
        <w:t>4</w:t>
      </w:r>
      <w:r w:rsidRPr="001D2ADB">
        <w:rPr>
          <w:rFonts w:ascii="Arial" w:hAnsi="Arial" w:cs="Arial"/>
        </w:rPr>
        <w:t xml:space="preserve">). Based on the results, this could be another drug option as adjunct therapy to consider for use. </w:t>
      </w:r>
    </w:p>
    <w:p w14:paraId="068E6E55" w14:textId="77777777" w:rsidR="00443190" w:rsidRDefault="00443190" w:rsidP="001D2ADB">
      <w:pPr>
        <w:spacing w:after="0"/>
        <w:rPr>
          <w:rFonts w:ascii="Arial" w:hAnsi="Arial" w:cs="Arial"/>
        </w:rPr>
      </w:pPr>
    </w:p>
    <w:p w14:paraId="0D25B79B" w14:textId="1CF97EFA" w:rsidR="00C2798A" w:rsidRPr="00C2798A" w:rsidRDefault="00C2798A" w:rsidP="001D2ADB">
      <w:pPr>
        <w:spacing w:after="0"/>
        <w:rPr>
          <w:rFonts w:ascii="Arial" w:hAnsi="Arial" w:cs="Arial"/>
          <w:b/>
          <w:bCs/>
          <w:color w:val="00B050"/>
        </w:rPr>
      </w:pPr>
      <w:r w:rsidRPr="00C2798A">
        <w:rPr>
          <w:rFonts w:ascii="Arial" w:hAnsi="Arial" w:cs="Arial"/>
          <w:b/>
          <w:bCs/>
          <w:color w:val="00B050"/>
        </w:rPr>
        <w:t>Angiopoietin-</w:t>
      </w:r>
      <w:r w:rsidRPr="00C2798A">
        <w:rPr>
          <w:rFonts w:ascii="Arial" w:hAnsi="Arial" w:cs="Arial"/>
          <w:b/>
          <w:bCs/>
          <w:color w:val="00B050"/>
        </w:rPr>
        <w:t>L</w:t>
      </w:r>
      <w:r w:rsidRPr="00C2798A">
        <w:rPr>
          <w:rFonts w:ascii="Arial" w:hAnsi="Arial" w:cs="Arial"/>
          <w:b/>
          <w:bCs/>
          <w:color w:val="00B050"/>
        </w:rPr>
        <w:t xml:space="preserve">ike </w:t>
      </w:r>
      <w:r w:rsidRPr="00C2798A">
        <w:rPr>
          <w:rFonts w:ascii="Arial" w:hAnsi="Arial" w:cs="Arial"/>
          <w:b/>
          <w:bCs/>
          <w:color w:val="00B050"/>
        </w:rPr>
        <w:t>P</w:t>
      </w:r>
      <w:r w:rsidRPr="00C2798A">
        <w:rPr>
          <w:rFonts w:ascii="Arial" w:hAnsi="Arial" w:cs="Arial"/>
          <w:b/>
          <w:bCs/>
          <w:color w:val="00B050"/>
        </w:rPr>
        <w:t>rotein 3 (ANGPTL3)</w:t>
      </w:r>
    </w:p>
    <w:p w14:paraId="7F2963AE" w14:textId="77777777" w:rsidR="00C2798A" w:rsidRPr="001D2ADB" w:rsidRDefault="00C2798A" w:rsidP="001D2ADB">
      <w:pPr>
        <w:spacing w:after="0"/>
        <w:rPr>
          <w:rFonts w:ascii="Arial" w:hAnsi="Arial" w:cs="Arial"/>
        </w:rPr>
      </w:pPr>
    </w:p>
    <w:p w14:paraId="212B6DED" w14:textId="5E485A00" w:rsidR="00443190" w:rsidRPr="001D2ADB" w:rsidRDefault="00443190" w:rsidP="001D2ADB">
      <w:pPr>
        <w:spacing w:after="0"/>
        <w:rPr>
          <w:rFonts w:ascii="Arial" w:hAnsi="Arial" w:cs="Arial"/>
        </w:rPr>
      </w:pPr>
      <w:r w:rsidRPr="001D2ADB">
        <w:rPr>
          <w:rFonts w:ascii="Arial" w:hAnsi="Arial" w:cs="Arial"/>
        </w:rPr>
        <w:t>Angiopoietin-like protein 3 (ANGPTL3) also presents a novel target of adjunctive therapy for patients with homozygous familial hypercholesterolemia that are not meeting LDL-C goals with first-line agents (8</w:t>
      </w:r>
      <w:r w:rsidR="008074A7" w:rsidRPr="001D2ADB">
        <w:rPr>
          <w:rFonts w:ascii="Arial" w:hAnsi="Arial" w:cs="Arial"/>
        </w:rPr>
        <w:t>5</w:t>
      </w:r>
      <w:r w:rsidRPr="001D2ADB">
        <w:rPr>
          <w:rFonts w:ascii="Arial" w:hAnsi="Arial" w:cs="Arial"/>
        </w:rPr>
        <w:t>, 8</w:t>
      </w:r>
      <w:r w:rsidR="008074A7" w:rsidRPr="001D2ADB">
        <w:rPr>
          <w:rFonts w:ascii="Arial" w:hAnsi="Arial" w:cs="Arial"/>
        </w:rPr>
        <w:t>6</w:t>
      </w:r>
      <w:r w:rsidRPr="001D2ADB">
        <w:rPr>
          <w:rFonts w:ascii="Arial" w:hAnsi="Arial" w:cs="Arial"/>
        </w:rPr>
        <w:t>).  Evkeeva (evinacumab-dgnb) is a monoclonal ANGPTL3 inhibitor that is FDA-approved specifically for the adjunctive treatment of homozygous familial hypercholesterolemia in patients 5 years of age and older (8</w:t>
      </w:r>
      <w:r w:rsidR="008074A7" w:rsidRPr="001D2ADB">
        <w:rPr>
          <w:rFonts w:ascii="Arial" w:hAnsi="Arial" w:cs="Arial"/>
        </w:rPr>
        <w:t>7</w:t>
      </w:r>
      <w:r w:rsidRPr="001D2ADB">
        <w:rPr>
          <w:rFonts w:ascii="Arial" w:hAnsi="Arial" w:cs="Arial"/>
        </w:rPr>
        <w:t xml:space="preserve">). </w:t>
      </w:r>
    </w:p>
    <w:p w14:paraId="1A24D5AC" w14:textId="77777777" w:rsidR="00443190" w:rsidRDefault="00443190" w:rsidP="001D2ADB">
      <w:pPr>
        <w:spacing w:after="0"/>
        <w:rPr>
          <w:rFonts w:ascii="Arial" w:hAnsi="Arial" w:cs="Arial"/>
        </w:rPr>
      </w:pPr>
    </w:p>
    <w:p w14:paraId="64673772" w14:textId="7FD4B0A5" w:rsidR="00C2798A" w:rsidRPr="00C2798A" w:rsidRDefault="00C2798A" w:rsidP="001D2ADB">
      <w:pPr>
        <w:spacing w:after="0"/>
        <w:rPr>
          <w:rFonts w:ascii="Arial" w:hAnsi="Arial" w:cs="Arial"/>
          <w:b/>
          <w:bCs/>
        </w:rPr>
      </w:pPr>
      <w:r w:rsidRPr="00C2798A">
        <w:rPr>
          <w:rFonts w:ascii="Arial" w:hAnsi="Arial" w:cs="Arial"/>
          <w:b/>
          <w:bCs/>
          <w:color w:val="00B050"/>
        </w:rPr>
        <w:t>Lomitapide</w:t>
      </w:r>
    </w:p>
    <w:p w14:paraId="7951C30E" w14:textId="77777777" w:rsidR="00C2798A" w:rsidRPr="001D2ADB" w:rsidRDefault="00C2798A" w:rsidP="001D2ADB">
      <w:pPr>
        <w:spacing w:after="0"/>
        <w:rPr>
          <w:rFonts w:ascii="Arial" w:hAnsi="Arial" w:cs="Arial"/>
        </w:rPr>
      </w:pPr>
    </w:p>
    <w:p w14:paraId="1225E048" w14:textId="73B2FCAF" w:rsidR="00443190" w:rsidRDefault="00443190" w:rsidP="001D2ADB">
      <w:pPr>
        <w:spacing w:after="0"/>
        <w:rPr>
          <w:rFonts w:ascii="Arial" w:hAnsi="Arial" w:cs="Arial"/>
        </w:rPr>
      </w:pPr>
      <w:r w:rsidRPr="001D2ADB">
        <w:rPr>
          <w:rFonts w:ascii="Arial" w:hAnsi="Arial" w:cs="Arial"/>
        </w:rPr>
        <w:t>Lomitapide is another potential treatment option for patients with HoFH. This medication works differently from more conventional options. It binds to microsomal triglyceride transfer protein (MTP) and prevents the production of lipoproteins that contain apo-B (8</w:t>
      </w:r>
      <w:r w:rsidR="008074A7" w:rsidRPr="001D2ADB">
        <w:rPr>
          <w:rFonts w:ascii="Arial" w:hAnsi="Arial" w:cs="Arial"/>
        </w:rPr>
        <w:t>8</w:t>
      </w:r>
      <w:r w:rsidRPr="001D2ADB">
        <w:rPr>
          <w:rFonts w:ascii="Arial" w:hAnsi="Arial" w:cs="Arial"/>
        </w:rPr>
        <w:t>). This causes a decrease in the production of very-low-density lipoprotein (VLDL) and chylomicrons. Since VLDL is converted into LDL, this mechanism ultimately causing a decrease in LDL-C levels (8</w:t>
      </w:r>
      <w:r w:rsidR="008074A7" w:rsidRPr="001D2ADB">
        <w:rPr>
          <w:rFonts w:ascii="Arial" w:hAnsi="Arial" w:cs="Arial"/>
        </w:rPr>
        <w:t>9</w:t>
      </w:r>
      <w:r w:rsidRPr="001D2ADB">
        <w:rPr>
          <w:rFonts w:ascii="Arial" w:hAnsi="Arial" w:cs="Arial"/>
        </w:rPr>
        <w:t>). It is administered once daily at doses ranging from 5 to 60 mg (8</w:t>
      </w:r>
      <w:r w:rsidR="008074A7" w:rsidRPr="001D2ADB">
        <w:rPr>
          <w:rFonts w:ascii="Arial" w:hAnsi="Arial" w:cs="Arial"/>
        </w:rPr>
        <w:t>8</w:t>
      </w:r>
      <w:r w:rsidRPr="001D2ADB">
        <w:rPr>
          <w:rFonts w:ascii="Arial" w:hAnsi="Arial" w:cs="Arial"/>
        </w:rPr>
        <w:t>). The side effect profile of lomitapide can be difficult for patients as it can cause severe gastrointestinal side effects (due to the decrease in absorption of fats in the intestines), most often diarrhea (8</w:t>
      </w:r>
      <w:r w:rsidR="008074A7" w:rsidRPr="001D2ADB">
        <w:rPr>
          <w:rFonts w:ascii="Arial" w:hAnsi="Arial" w:cs="Arial"/>
        </w:rPr>
        <w:t>9</w:t>
      </w:r>
      <w:r w:rsidRPr="001D2ADB">
        <w:rPr>
          <w:rFonts w:ascii="Arial" w:hAnsi="Arial" w:cs="Arial"/>
        </w:rPr>
        <w:t>). But it is also associated with raised hepatic fats and enzymes (</w:t>
      </w:r>
      <w:r w:rsidR="008074A7" w:rsidRPr="001D2ADB">
        <w:rPr>
          <w:rFonts w:ascii="Arial" w:hAnsi="Arial" w:cs="Arial"/>
        </w:rPr>
        <w:t>82</w:t>
      </w:r>
      <w:r w:rsidRPr="001D2ADB">
        <w:rPr>
          <w:rFonts w:ascii="Arial" w:hAnsi="Arial" w:cs="Arial"/>
        </w:rPr>
        <w:t>). It is currently approved for adult use only, but it has become an option for use in pediatric patients through an expanded access program or a named patient basis (</w:t>
      </w:r>
      <w:r w:rsidR="008074A7" w:rsidRPr="001D2ADB">
        <w:rPr>
          <w:rFonts w:ascii="Arial" w:hAnsi="Arial" w:cs="Arial"/>
        </w:rPr>
        <w:t>82</w:t>
      </w:r>
      <w:r w:rsidRPr="001D2ADB">
        <w:rPr>
          <w:rFonts w:ascii="Arial" w:hAnsi="Arial" w:cs="Arial"/>
        </w:rPr>
        <w:t>). There was a case series done exploring the effect of lomitapide in 11 pediatric patients diagnosed with HoFH. It demonstrated that the drug was effective in reducing LDL-C with all 11 HoFH patients and showed a similar side effect profile to that seen in adult patients (</w:t>
      </w:r>
      <w:r w:rsidR="008074A7" w:rsidRPr="001D2ADB">
        <w:rPr>
          <w:rFonts w:ascii="Arial" w:hAnsi="Arial" w:cs="Arial"/>
        </w:rPr>
        <w:t>82</w:t>
      </w:r>
      <w:r w:rsidRPr="001D2ADB">
        <w:rPr>
          <w:rFonts w:ascii="Arial" w:hAnsi="Arial" w:cs="Arial"/>
        </w:rPr>
        <w:t>). GI complaints were moderated and did not cause any discontinuation of use (</w:t>
      </w:r>
      <w:r w:rsidR="008074A7" w:rsidRPr="001D2ADB">
        <w:rPr>
          <w:rFonts w:ascii="Arial" w:hAnsi="Arial" w:cs="Arial"/>
        </w:rPr>
        <w:t>82</w:t>
      </w:r>
      <w:r w:rsidRPr="001D2ADB">
        <w:rPr>
          <w:rFonts w:ascii="Arial" w:hAnsi="Arial" w:cs="Arial"/>
        </w:rPr>
        <w:t>). It also showed greater reduction in LDL-C levels at lower doses (</w:t>
      </w:r>
      <w:r w:rsidR="00515F70" w:rsidRPr="001D2ADB">
        <w:rPr>
          <w:rFonts w:ascii="Arial" w:hAnsi="Arial" w:cs="Arial"/>
        </w:rPr>
        <w:t>82</w:t>
      </w:r>
      <w:r w:rsidRPr="001D2ADB">
        <w:rPr>
          <w:rFonts w:ascii="Arial" w:hAnsi="Arial" w:cs="Arial"/>
        </w:rPr>
        <w:t>). The greatest benefit of lomitapide was associated with its ability to reduce or stop the need for lipoprotein apheresis in the patients incorporated in this case study (</w:t>
      </w:r>
      <w:r w:rsidR="00515F70" w:rsidRPr="001D2ADB">
        <w:rPr>
          <w:rFonts w:ascii="Arial" w:hAnsi="Arial" w:cs="Arial"/>
        </w:rPr>
        <w:t>82</w:t>
      </w:r>
      <w:r w:rsidRPr="001D2ADB">
        <w:rPr>
          <w:rFonts w:ascii="Arial" w:hAnsi="Arial" w:cs="Arial"/>
        </w:rPr>
        <w:t>). An interesting mention about lomitapide from the case series is that adult patient data shows that early intervention utilizing the drug showed a potential for increased life expectancy and a delay in the time to first major adverse cardiovascular event (</w:t>
      </w:r>
      <w:r w:rsidR="00515F70" w:rsidRPr="001D2ADB">
        <w:rPr>
          <w:rFonts w:ascii="Arial" w:hAnsi="Arial" w:cs="Arial"/>
        </w:rPr>
        <w:t>82</w:t>
      </w:r>
      <w:r w:rsidRPr="001D2ADB">
        <w:rPr>
          <w:rFonts w:ascii="Arial" w:hAnsi="Arial" w:cs="Arial"/>
        </w:rPr>
        <w:t>). There is also currently an ongoing phase 3, open label trial investigating the efficacy and safety of lomitapide in pediatric patients with HoFH, estimated completion date is April of 2024 (</w:t>
      </w:r>
      <w:r w:rsidR="00515F70" w:rsidRPr="001D2ADB">
        <w:rPr>
          <w:rFonts w:ascii="Arial" w:hAnsi="Arial" w:cs="Arial"/>
        </w:rPr>
        <w:t>82</w:t>
      </w:r>
      <w:r w:rsidRPr="001D2ADB">
        <w:rPr>
          <w:rFonts w:ascii="Arial" w:hAnsi="Arial" w:cs="Arial"/>
        </w:rPr>
        <w:t xml:space="preserve">). </w:t>
      </w:r>
    </w:p>
    <w:p w14:paraId="1905DB7E" w14:textId="77777777" w:rsidR="00C2798A" w:rsidRDefault="00C2798A" w:rsidP="001D2ADB">
      <w:pPr>
        <w:spacing w:after="0"/>
        <w:rPr>
          <w:rFonts w:ascii="Arial" w:hAnsi="Arial" w:cs="Arial"/>
        </w:rPr>
      </w:pPr>
    </w:p>
    <w:p w14:paraId="0653D621" w14:textId="0D0BF11A" w:rsidR="00C2798A" w:rsidRPr="00C2798A" w:rsidRDefault="00C2798A" w:rsidP="001D2ADB">
      <w:pPr>
        <w:spacing w:after="0"/>
        <w:rPr>
          <w:rFonts w:ascii="Arial" w:hAnsi="Arial" w:cs="Arial"/>
          <w:b/>
          <w:bCs/>
          <w:color w:val="00B050"/>
        </w:rPr>
      </w:pPr>
      <w:bookmarkStart w:id="5" w:name="_Hlk151752800"/>
      <w:r w:rsidRPr="00C2798A">
        <w:rPr>
          <w:rFonts w:ascii="Arial" w:hAnsi="Arial" w:cs="Arial"/>
          <w:b/>
          <w:bCs/>
          <w:color w:val="00B050"/>
        </w:rPr>
        <w:t xml:space="preserve">Bempedoic </w:t>
      </w:r>
      <w:r>
        <w:rPr>
          <w:rFonts w:ascii="Arial" w:hAnsi="Arial" w:cs="Arial"/>
          <w:b/>
          <w:bCs/>
          <w:color w:val="00B050"/>
        </w:rPr>
        <w:t>A</w:t>
      </w:r>
      <w:r w:rsidRPr="00C2798A">
        <w:rPr>
          <w:rFonts w:ascii="Arial" w:hAnsi="Arial" w:cs="Arial"/>
          <w:b/>
          <w:bCs/>
          <w:color w:val="00B050"/>
        </w:rPr>
        <w:t>cid</w:t>
      </w:r>
    </w:p>
    <w:bookmarkEnd w:id="5"/>
    <w:p w14:paraId="5219F7DB" w14:textId="75C5D02C" w:rsidR="00443190" w:rsidRPr="001D2ADB" w:rsidRDefault="00443190" w:rsidP="001D2ADB">
      <w:pPr>
        <w:spacing w:after="0"/>
        <w:rPr>
          <w:rFonts w:ascii="Arial" w:hAnsi="Arial" w:cs="Arial"/>
        </w:rPr>
      </w:pPr>
    </w:p>
    <w:p w14:paraId="49467442" w14:textId="72D54A61" w:rsidR="00443190" w:rsidRPr="001D2ADB" w:rsidRDefault="00443190" w:rsidP="001D2ADB">
      <w:pPr>
        <w:spacing w:after="0"/>
        <w:rPr>
          <w:rFonts w:ascii="Arial" w:hAnsi="Arial" w:cs="Arial"/>
        </w:rPr>
      </w:pPr>
      <w:r w:rsidRPr="001D2ADB">
        <w:rPr>
          <w:rFonts w:ascii="Arial" w:hAnsi="Arial" w:cs="Arial"/>
        </w:rPr>
        <w:t>Bempedoic acid is a new medication that exerts its effects very similarly to that of statins. It works in the same pathway as statins and targets cholesterol biosynthesis (</w:t>
      </w:r>
      <w:r w:rsidR="0006343A" w:rsidRPr="001D2ADB">
        <w:rPr>
          <w:rFonts w:ascii="Arial" w:hAnsi="Arial" w:cs="Arial"/>
        </w:rPr>
        <w:t>90-92</w:t>
      </w:r>
      <w:r w:rsidRPr="001D2ADB">
        <w:rPr>
          <w:rFonts w:ascii="Arial" w:hAnsi="Arial" w:cs="Arial"/>
        </w:rPr>
        <w:t>). It is administered however as a prodrug and converted to active drug only in the liver and not in the muscles (</w:t>
      </w:r>
      <w:r w:rsidR="0006343A" w:rsidRPr="001D2ADB">
        <w:rPr>
          <w:rFonts w:ascii="Arial" w:hAnsi="Arial" w:cs="Arial"/>
        </w:rPr>
        <w:t>90-92</w:t>
      </w:r>
      <w:r w:rsidRPr="001D2ADB">
        <w:rPr>
          <w:rFonts w:ascii="Arial" w:hAnsi="Arial" w:cs="Arial"/>
        </w:rPr>
        <w:t>). The other difference between the two classes is that bempedoic acid inhibits ATP-citrate lyase (ACL), while statins inhibit HMG CoA reductase (</w:t>
      </w:r>
      <w:r w:rsidR="0006343A" w:rsidRPr="001D2ADB">
        <w:rPr>
          <w:rFonts w:ascii="Arial" w:hAnsi="Arial" w:cs="Arial"/>
        </w:rPr>
        <w:t>90-92</w:t>
      </w:r>
      <w:r w:rsidRPr="001D2ADB">
        <w:rPr>
          <w:rFonts w:ascii="Arial" w:hAnsi="Arial" w:cs="Arial"/>
        </w:rPr>
        <w:t>). Due to the lack of activation in skeletal muscles, this drug is a promising alternative to patients unable to take statins due to muscle related symptoms (</w:t>
      </w:r>
      <w:r w:rsidR="0006343A" w:rsidRPr="001D2ADB">
        <w:rPr>
          <w:rFonts w:ascii="Arial" w:hAnsi="Arial" w:cs="Arial"/>
        </w:rPr>
        <w:t>90-92</w:t>
      </w:r>
      <w:r w:rsidRPr="001D2ADB">
        <w:rPr>
          <w:rFonts w:ascii="Arial" w:hAnsi="Arial" w:cs="Arial"/>
        </w:rPr>
        <w:t>). The medication is FDA approved for use in patients with HeFH and those with established cardiovascular disease (9</w:t>
      </w:r>
      <w:r w:rsidR="0006343A" w:rsidRPr="001D2ADB">
        <w:rPr>
          <w:rFonts w:ascii="Arial" w:hAnsi="Arial" w:cs="Arial"/>
        </w:rPr>
        <w:t>3</w:t>
      </w:r>
      <w:r w:rsidRPr="001D2ADB">
        <w:rPr>
          <w:rFonts w:ascii="Arial" w:hAnsi="Arial" w:cs="Arial"/>
        </w:rPr>
        <w:t xml:space="preserve">). It has shown </w:t>
      </w:r>
      <w:r w:rsidRPr="001D2ADB">
        <w:rPr>
          <w:rFonts w:ascii="Arial" w:hAnsi="Arial" w:cs="Arial"/>
        </w:rPr>
        <w:lastRenderedPageBreak/>
        <w:t>promising results in adult trials, but there are currently no published pediatric trials to date assessing the safety or efficacy of use of the drug (9</w:t>
      </w:r>
      <w:r w:rsidR="0006343A" w:rsidRPr="001D2ADB">
        <w:rPr>
          <w:rFonts w:ascii="Arial" w:hAnsi="Arial" w:cs="Arial"/>
        </w:rPr>
        <w:t>3</w:t>
      </w:r>
      <w:r w:rsidRPr="001D2ADB">
        <w:rPr>
          <w:rFonts w:ascii="Arial" w:hAnsi="Arial" w:cs="Arial"/>
        </w:rPr>
        <w:t>). There does however appear to be a trial in development: “</w:t>
      </w:r>
      <w:r w:rsidRPr="001D2ADB">
        <w:rPr>
          <w:rFonts w:ascii="Arial" w:hAnsi="Arial" w:cs="Arial"/>
          <w:color w:val="000000" w:themeColor="text1"/>
        </w:rPr>
        <w:t xml:space="preserve">An Open-Label Study to Evaluate the Pharmacokinetics, Pharmacodynamics, and Safety of Bempedoic acid in Pediatric Patients with Heterozygous Familial Hypercholesterolemia.” </w:t>
      </w:r>
      <w:r w:rsidRPr="001D2ADB">
        <w:rPr>
          <w:rFonts w:ascii="Arial" w:hAnsi="Arial" w:cs="Arial"/>
        </w:rPr>
        <w:t xml:space="preserve">The results are highly anticipated so that this can offer another promising drug class for use in patients intolerant or unable to meet their LDL-C goals. </w:t>
      </w:r>
    </w:p>
    <w:p w14:paraId="2EE6F0CD" w14:textId="77777777" w:rsidR="00443190" w:rsidRPr="001D2ADB" w:rsidRDefault="00443190" w:rsidP="001D2ADB">
      <w:pPr>
        <w:spacing w:after="0"/>
        <w:rPr>
          <w:rFonts w:ascii="Arial" w:hAnsi="Arial" w:cs="Arial"/>
        </w:rPr>
      </w:pPr>
    </w:p>
    <w:p w14:paraId="73E6C2FF" w14:textId="49344E69" w:rsidR="001C0297" w:rsidRPr="001C0297" w:rsidRDefault="001C0297" w:rsidP="001D2ADB">
      <w:pPr>
        <w:spacing w:after="0"/>
        <w:rPr>
          <w:rFonts w:ascii="Arial" w:hAnsi="Arial" w:cs="Arial"/>
          <w:b/>
          <w:bCs/>
          <w:color w:val="0070C0"/>
        </w:rPr>
      </w:pPr>
      <w:r w:rsidRPr="001C0297">
        <w:rPr>
          <w:rFonts w:ascii="Arial" w:hAnsi="Arial" w:cs="Arial"/>
          <w:b/>
          <w:bCs/>
          <w:color w:val="0070C0"/>
        </w:rPr>
        <w:t>FAMILIAL CHYLOMICRONEMIA SYNDROME</w:t>
      </w:r>
    </w:p>
    <w:p w14:paraId="31764264" w14:textId="77777777" w:rsidR="001C0297" w:rsidRDefault="001C0297" w:rsidP="001D2ADB">
      <w:pPr>
        <w:spacing w:after="0"/>
        <w:rPr>
          <w:rFonts w:ascii="Arial" w:hAnsi="Arial" w:cs="Arial"/>
          <w:color w:val="000000"/>
        </w:rPr>
      </w:pPr>
    </w:p>
    <w:p w14:paraId="67C423CC" w14:textId="77777777" w:rsidR="001C0297" w:rsidRDefault="00443190" w:rsidP="001D2ADB">
      <w:pPr>
        <w:spacing w:after="0"/>
        <w:rPr>
          <w:rFonts w:ascii="Arial" w:hAnsi="Arial" w:cs="Arial"/>
          <w:color w:val="000000"/>
        </w:rPr>
      </w:pPr>
      <w:r w:rsidRPr="001D2ADB">
        <w:rPr>
          <w:rFonts w:ascii="Arial" w:hAnsi="Arial" w:cs="Arial"/>
          <w:color w:val="000000"/>
        </w:rPr>
        <w:t>Familial chylomicronemia syndrome (FCS) is an incredibly rare autosomal recessive gene disorder (9</w:t>
      </w:r>
      <w:r w:rsidR="0006343A" w:rsidRPr="001D2ADB">
        <w:rPr>
          <w:rFonts w:ascii="Arial" w:hAnsi="Arial" w:cs="Arial"/>
          <w:color w:val="000000"/>
        </w:rPr>
        <w:t>4</w:t>
      </w:r>
      <w:r w:rsidRPr="001D2ADB">
        <w:rPr>
          <w:rFonts w:ascii="Arial" w:hAnsi="Arial" w:cs="Arial"/>
          <w:color w:val="000000"/>
        </w:rPr>
        <w:t>). There is reduced or absent lipoprotein lipase activity causing disruption in chylomicron metabolism leading to severely elevated triglyceride levels resulting in acute recurrent pancreatitis (9</w:t>
      </w:r>
      <w:r w:rsidR="0006343A" w:rsidRPr="001D2ADB">
        <w:rPr>
          <w:rFonts w:ascii="Arial" w:hAnsi="Arial" w:cs="Arial"/>
          <w:color w:val="000000"/>
        </w:rPr>
        <w:t>4</w:t>
      </w:r>
      <w:r w:rsidRPr="001D2ADB">
        <w:rPr>
          <w:rFonts w:ascii="Arial" w:hAnsi="Arial" w:cs="Arial"/>
          <w:color w:val="000000"/>
        </w:rPr>
        <w:t>). There is not however an increased risk of ASCVD with an FCS diagnosis (9</w:t>
      </w:r>
      <w:r w:rsidR="0006343A" w:rsidRPr="001D2ADB">
        <w:rPr>
          <w:rFonts w:ascii="Arial" w:hAnsi="Arial" w:cs="Arial"/>
          <w:color w:val="000000"/>
        </w:rPr>
        <w:t>4</w:t>
      </w:r>
      <w:r w:rsidRPr="001D2ADB">
        <w:rPr>
          <w:rFonts w:ascii="Arial" w:hAnsi="Arial" w:cs="Arial"/>
          <w:color w:val="000000"/>
        </w:rPr>
        <w:t>). The best way to treat FCS is also often referred to as the most difficult as it requires patients to restrict dietary intake to &lt;10-15% of daily calories (9</w:t>
      </w:r>
      <w:r w:rsidR="0006343A" w:rsidRPr="001D2ADB">
        <w:rPr>
          <w:rFonts w:ascii="Arial" w:hAnsi="Arial" w:cs="Arial"/>
          <w:color w:val="000000"/>
        </w:rPr>
        <w:t>4</w:t>
      </w:r>
      <w:r w:rsidRPr="001D2ADB">
        <w:rPr>
          <w:rFonts w:ascii="Arial" w:hAnsi="Arial" w:cs="Arial"/>
          <w:color w:val="000000"/>
        </w:rPr>
        <w:t>). Other treatment options utilized are fibrates, omega-3 fatty acids and statins with variable responses, but the use of these medications is most commonly seen in patients who have multifactorial chylomicronemia syndrome (9</w:t>
      </w:r>
      <w:r w:rsidR="003A008E" w:rsidRPr="001D2ADB">
        <w:rPr>
          <w:rFonts w:ascii="Arial" w:hAnsi="Arial" w:cs="Arial"/>
          <w:color w:val="000000"/>
        </w:rPr>
        <w:t>4</w:t>
      </w:r>
      <w:r w:rsidRPr="001D2ADB">
        <w:rPr>
          <w:rFonts w:ascii="Arial" w:hAnsi="Arial" w:cs="Arial"/>
          <w:color w:val="000000"/>
        </w:rPr>
        <w:t>). Given the difficulty of ensuring these patients maintain low levels of triglycerides, medications like volanesorsen are being examined (9</w:t>
      </w:r>
      <w:r w:rsidR="00DD11BF" w:rsidRPr="001D2ADB">
        <w:rPr>
          <w:rFonts w:ascii="Arial" w:hAnsi="Arial" w:cs="Arial"/>
          <w:color w:val="000000"/>
        </w:rPr>
        <w:t>4, 95</w:t>
      </w:r>
      <w:r w:rsidRPr="001D2ADB">
        <w:rPr>
          <w:rFonts w:ascii="Arial" w:hAnsi="Arial" w:cs="Arial"/>
          <w:color w:val="000000"/>
        </w:rPr>
        <w:t xml:space="preserve">). </w:t>
      </w:r>
    </w:p>
    <w:p w14:paraId="783EC021" w14:textId="77777777" w:rsidR="00C2798A" w:rsidRDefault="00C2798A" w:rsidP="001D2ADB">
      <w:pPr>
        <w:spacing w:after="0"/>
        <w:rPr>
          <w:rFonts w:ascii="Arial" w:hAnsi="Arial" w:cs="Arial"/>
          <w:color w:val="000000"/>
        </w:rPr>
      </w:pPr>
    </w:p>
    <w:p w14:paraId="186A0976" w14:textId="45DF81AE" w:rsidR="00C2798A" w:rsidRPr="00C2798A" w:rsidRDefault="00C2798A" w:rsidP="001D2ADB">
      <w:pPr>
        <w:spacing w:after="0"/>
        <w:rPr>
          <w:rFonts w:ascii="Arial" w:hAnsi="Arial" w:cs="Arial"/>
          <w:b/>
          <w:bCs/>
          <w:color w:val="00B050"/>
        </w:rPr>
      </w:pPr>
      <w:r w:rsidRPr="00C2798A">
        <w:rPr>
          <w:rFonts w:ascii="Arial" w:hAnsi="Arial" w:cs="Arial"/>
          <w:b/>
          <w:bCs/>
          <w:color w:val="00B050"/>
        </w:rPr>
        <w:t>Volanesorsen</w:t>
      </w:r>
    </w:p>
    <w:p w14:paraId="548C3DF3" w14:textId="77777777" w:rsidR="001C0297" w:rsidRDefault="001C0297" w:rsidP="001D2ADB">
      <w:pPr>
        <w:spacing w:after="0"/>
        <w:rPr>
          <w:rFonts w:ascii="Arial" w:hAnsi="Arial" w:cs="Arial"/>
          <w:color w:val="000000"/>
        </w:rPr>
      </w:pPr>
    </w:p>
    <w:p w14:paraId="6CB0C6BB" w14:textId="44C735DC" w:rsidR="00443190" w:rsidRPr="001D2ADB" w:rsidRDefault="00443190" w:rsidP="001D2ADB">
      <w:pPr>
        <w:spacing w:after="0"/>
        <w:rPr>
          <w:rFonts w:ascii="Arial" w:hAnsi="Arial" w:cs="Arial"/>
          <w:color w:val="000000"/>
        </w:rPr>
      </w:pPr>
      <w:bookmarkStart w:id="6" w:name="_Hlk151752841"/>
      <w:r w:rsidRPr="001D2ADB">
        <w:rPr>
          <w:rFonts w:ascii="Arial" w:hAnsi="Arial" w:cs="Arial"/>
          <w:color w:val="000000"/>
        </w:rPr>
        <w:t>Volanesorsen</w:t>
      </w:r>
      <w:bookmarkEnd w:id="6"/>
      <w:r w:rsidRPr="001D2ADB">
        <w:rPr>
          <w:rFonts w:ascii="Arial" w:hAnsi="Arial" w:cs="Arial"/>
          <w:color w:val="000000"/>
        </w:rPr>
        <w:t xml:space="preserve"> is a second-generation 2’-O-methoxyethyl (2’-MOE) antisense therapeutic oligonucleotide. It works by inhibiting apoC3 thus lowering triglyceride plasma levels (9</w:t>
      </w:r>
      <w:r w:rsidR="00DD11BF" w:rsidRPr="001D2ADB">
        <w:rPr>
          <w:rFonts w:ascii="Arial" w:hAnsi="Arial" w:cs="Arial"/>
          <w:color w:val="000000"/>
        </w:rPr>
        <w:t>4</w:t>
      </w:r>
      <w:r w:rsidRPr="001D2ADB">
        <w:rPr>
          <w:rFonts w:ascii="Arial" w:hAnsi="Arial" w:cs="Arial"/>
          <w:color w:val="000000"/>
        </w:rPr>
        <w:t>). When it binds to apoC3, this interrupts mRNA translation which consequently promotes triglyceride clearance/lowering of triglyceride plasma levels (9</w:t>
      </w:r>
      <w:r w:rsidR="00DD11BF" w:rsidRPr="001D2ADB">
        <w:rPr>
          <w:rFonts w:ascii="Arial" w:hAnsi="Arial" w:cs="Arial"/>
          <w:color w:val="000000"/>
        </w:rPr>
        <w:t>4</w:t>
      </w:r>
      <w:r w:rsidRPr="001D2ADB">
        <w:rPr>
          <w:rFonts w:ascii="Arial" w:hAnsi="Arial" w:cs="Arial"/>
          <w:color w:val="000000"/>
        </w:rPr>
        <w:t>). The efficacy and safety of volanesorsen was assessed in the APPROACH study (9</w:t>
      </w:r>
      <w:r w:rsidR="00DD11BF" w:rsidRPr="001D2ADB">
        <w:rPr>
          <w:rFonts w:ascii="Arial" w:hAnsi="Arial" w:cs="Arial"/>
          <w:color w:val="000000"/>
        </w:rPr>
        <w:t>6</w:t>
      </w:r>
      <w:r w:rsidRPr="001D2ADB">
        <w:rPr>
          <w:rFonts w:ascii="Arial" w:hAnsi="Arial" w:cs="Arial"/>
          <w:color w:val="000000"/>
        </w:rPr>
        <w:t>). It included 67 patients that were randomized to either weekly volanesorsen or placebo for 3 months (9</w:t>
      </w:r>
      <w:r w:rsidR="00DD11BF" w:rsidRPr="001D2ADB">
        <w:rPr>
          <w:rFonts w:ascii="Arial" w:hAnsi="Arial" w:cs="Arial"/>
          <w:color w:val="000000"/>
        </w:rPr>
        <w:t>7</w:t>
      </w:r>
      <w:r w:rsidRPr="001D2ADB">
        <w:rPr>
          <w:rFonts w:ascii="Arial" w:hAnsi="Arial" w:cs="Arial"/>
          <w:color w:val="000000"/>
        </w:rPr>
        <w:t>). The results showed a 77% reduction in triglyceride plasma levels at the end of the study period and there was only 1 event of pancreatitis in the study group (9</w:t>
      </w:r>
      <w:r w:rsidR="00DD11BF" w:rsidRPr="001D2ADB">
        <w:rPr>
          <w:rFonts w:ascii="Arial" w:hAnsi="Arial" w:cs="Arial"/>
          <w:color w:val="000000"/>
        </w:rPr>
        <w:t>7</w:t>
      </w:r>
      <w:r w:rsidRPr="001D2ADB">
        <w:rPr>
          <w:rFonts w:ascii="Arial" w:hAnsi="Arial" w:cs="Arial"/>
          <w:color w:val="000000"/>
        </w:rPr>
        <w:t>). The largest trial performed assessing the use of volanesorsen was the COMPASS trial (9</w:t>
      </w:r>
      <w:r w:rsidR="00DD11BF" w:rsidRPr="001D2ADB">
        <w:rPr>
          <w:rFonts w:ascii="Arial" w:hAnsi="Arial" w:cs="Arial"/>
          <w:color w:val="000000"/>
        </w:rPr>
        <w:t>7</w:t>
      </w:r>
      <w:r w:rsidRPr="001D2ADB">
        <w:rPr>
          <w:rFonts w:ascii="Arial" w:hAnsi="Arial" w:cs="Arial"/>
          <w:color w:val="000000"/>
        </w:rPr>
        <w:t>). It included 114 patients who were randomized to either weekly injections of volanesorsen or placebo for a total of 26 weeks (9</w:t>
      </w:r>
      <w:r w:rsidR="00DD11BF" w:rsidRPr="001D2ADB">
        <w:rPr>
          <w:rFonts w:ascii="Arial" w:hAnsi="Arial" w:cs="Arial"/>
          <w:color w:val="000000"/>
        </w:rPr>
        <w:t>7</w:t>
      </w:r>
      <w:r w:rsidRPr="001D2ADB">
        <w:rPr>
          <w:rFonts w:ascii="Arial" w:hAnsi="Arial" w:cs="Arial"/>
          <w:color w:val="000000"/>
        </w:rPr>
        <w:t>). The results showed that patients in the treatment group saw a reduction in triglyceride levels, chylomicron triglycerides, VLDL levels and apoC3 levels by more than 70% (9</w:t>
      </w:r>
      <w:r w:rsidR="00DD11BF" w:rsidRPr="001D2ADB">
        <w:rPr>
          <w:rFonts w:ascii="Arial" w:hAnsi="Arial" w:cs="Arial"/>
          <w:color w:val="000000"/>
        </w:rPr>
        <w:t>7</w:t>
      </w:r>
      <w:r w:rsidRPr="001D2ADB">
        <w:rPr>
          <w:rFonts w:ascii="Arial" w:hAnsi="Arial" w:cs="Arial"/>
          <w:color w:val="000000"/>
        </w:rPr>
        <w:t xml:space="preserve">). There </w:t>
      </w:r>
      <w:r w:rsidR="008E72EE" w:rsidRPr="001D2ADB">
        <w:rPr>
          <w:rFonts w:ascii="Arial" w:hAnsi="Arial" w:cs="Arial"/>
          <w:color w:val="000000"/>
        </w:rPr>
        <w:t>were</w:t>
      </w:r>
      <w:r w:rsidRPr="001D2ADB">
        <w:rPr>
          <w:rFonts w:ascii="Arial" w:hAnsi="Arial" w:cs="Arial"/>
          <w:color w:val="000000"/>
        </w:rPr>
        <w:t xml:space="preserve"> also no occurrences reported of pancreatitis in any of the patients randomized to the volanesorsen group (93). In both trials, volanesorsen proved itself as a promising agent for treatment of hypertriglyceridemia in FCS patients (9</w:t>
      </w:r>
      <w:r w:rsidR="00683396" w:rsidRPr="001D2ADB">
        <w:rPr>
          <w:rFonts w:ascii="Arial" w:hAnsi="Arial" w:cs="Arial"/>
          <w:color w:val="000000"/>
        </w:rPr>
        <w:t>5</w:t>
      </w:r>
      <w:r w:rsidRPr="001D2ADB">
        <w:rPr>
          <w:rFonts w:ascii="Arial" w:hAnsi="Arial" w:cs="Arial"/>
          <w:color w:val="000000"/>
        </w:rPr>
        <w:t>-9</w:t>
      </w:r>
      <w:r w:rsidR="00683396" w:rsidRPr="001D2ADB">
        <w:rPr>
          <w:rFonts w:ascii="Arial" w:hAnsi="Arial" w:cs="Arial"/>
          <w:color w:val="000000"/>
        </w:rPr>
        <w:t>8</w:t>
      </w:r>
      <w:r w:rsidRPr="001D2ADB">
        <w:rPr>
          <w:rFonts w:ascii="Arial" w:hAnsi="Arial" w:cs="Arial"/>
          <w:color w:val="000000"/>
        </w:rPr>
        <w:t>).</w:t>
      </w:r>
      <w:r w:rsidR="00971F41" w:rsidRPr="001D2ADB">
        <w:rPr>
          <w:rFonts w:ascii="Arial" w:hAnsi="Arial" w:cs="Arial"/>
          <w:color w:val="000000"/>
        </w:rPr>
        <w:t xml:space="preserve"> This drug is not approved for use in the US but is approved in other countries.</w:t>
      </w:r>
    </w:p>
    <w:p w14:paraId="526B0F9A" w14:textId="77777777" w:rsidR="00474DCD" w:rsidRPr="001D2ADB" w:rsidRDefault="00474DCD" w:rsidP="001D2ADB">
      <w:pPr>
        <w:spacing w:after="0"/>
        <w:outlineLvl w:val="0"/>
        <w:rPr>
          <w:rFonts w:ascii="Arial" w:hAnsi="Arial" w:cs="Arial"/>
        </w:rPr>
      </w:pPr>
    </w:p>
    <w:p w14:paraId="02D785EA" w14:textId="7BC512B1" w:rsidR="00375B2B" w:rsidRPr="001D2ADB" w:rsidRDefault="00375B2B" w:rsidP="001D2ADB">
      <w:pPr>
        <w:spacing w:after="0"/>
        <w:outlineLvl w:val="0"/>
        <w:rPr>
          <w:rFonts w:ascii="Arial" w:hAnsi="Arial" w:cs="Arial"/>
          <w:b/>
          <w:bCs/>
        </w:rPr>
      </w:pPr>
      <w:r w:rsidRPr="001D2ADB">
        <w:rPr>
          <w:rFonts w:ascii="Arial" w:hAnsi="Arial" w:cs="Arial"/>
          <w:b/>
          <w:bCs/>
          <w:color w:val="0070C0"/>
        </w:rPr>
        <w:t>CONCLUSION</w:t>
      </w:r>
      <w:r w:rsidR="00DD5EB6" w:rsidRPr="001D2ADB">
        <w:rPr>
          <w:rFonts w:ascii="Arial" w:hAnsi="Arial" w:cs="Arial"/>
          <w:b/>
          <w:bCs/>
        </w:rPr>
        <w:t xml:space="preserve"> </w:t>
      </w:r>
    </w:p>
    <w:p w14:paraId="4108A858" w14:textId="77777777" w:rsidR="00474DCD" w:rsidRPr="001D2ADB" w:rsidRDefault="00474DCD" w:rsidP="001D2ADB">
      <w:pPr>
        <w:spacing w:after="0"/>
        <w:rPr>
          <w:rFonts w:ascii="Arial" w:hAnsi="Arial" w:cs="Arial"/>
        </w:rPr>
      </w:pPr>
    </w:p>
    <w:p w14:paraId="074DFFDF" w14:textId="6482EFB8" w:rsidR="001D0ADF" w:rsidRPr="001D2ADB" w:rsidRDefault="00375B2B" w:rsidP="001C0297">
      <w:pPr>
        <w:spacing w:after="0"/>
        <w:rPr>
          <w:rFonts w:ascii="Arial" w:hAnsi="Arial" w:cs="Arial"/>
        </w:rPr>
      </w:pPr>
      <w:r w:rsidRPr="001D2ADB">
        <w:rPr>
          <w:rFonts w:ascii="Arial" w:hAnsi="Arial" w:cs="Arial"/>
        </w:rPr>
        <w:t xml:space="preserve">As </w:t>
      </w:r>
      <w:r w:rsidR="00F17C83" w:rsidRPr="001D2ADB">
        <w:rPr>
          <w:rFonts w:ascii="Arial" w:hAnsi="Arial" w:cs="Arial"/>
        </w:rPr>
        <w:t xml:space="preserve">noted in </w:t>
      </w:r>
      <w:r w:rsidRPr="001D2ADB">
        <w:rPr>
          <w:rFonts w:ascii="Arial" w:hAnsi="Arial" w:cs="Arial"/>
        </w:rPr>
        <w:t xml:space="preserve">the 2011 </w:t>
      </w:r>
      <w:r w:rsidR="00EF0772" w:rsidRPr="001D2ADB">
        <w:rPr>
          <w:rFonts w:ascii="Arial" w:hAnsi="Arial" w:cs="Arial"/>
        </w:rPr>
        <w:t>NHLBI’s guidelines</w:t>
      </w:r>
      <w:r w:rsidR="00127C90" w:rsidRPr="001D2ADB">
        <w:rPr>
          <w:rFonts w:ascii="Arial" w:hAnsi="Arial" w:cs="Arial"/>
        </w:rPr>
        <w:t>,</w:t>
      </w:r>
      <w:r w:rsidRPr="001D2ADB">
        <w:rPr>
          <w:rFonts w:ascii="Arial" w:hAnsi="Arial" w:cs="Arial"/>
        </w:rPr>
        <w:t xml:space="preserve"> available </w:t>
      </w:r>
      <w:r w:rsidR="008C56AB" w:rsidRPr="001D2ADB">
        <w:rPr>
          <w:rFonts w:ascii="Arial" w:hAnsi="Arial" w:cs="Arial"/>
        </w:rPr>
        <w:t xml:space="preserve">information </w:t>
      </w:r>
      <w:r w:rsidRPr="001D2ADB">
        <w:rPr>
          <w:rFonts w:ascii="Arial" w:hAnsi="Arial" w:cs="Arial"/>
        </w:rPr>
        <w:t xml:space="preserve">regarding the treatment of </w:t>
      </w:r>
      <w:r w:rsidR="008C56AB" w:rsidRPr="001D2ADB">
        <w:rPr>
          <w:rFonts w:ascii="Arial" w:hAnsi="Arial" w:cs="Arial"/>
        </w:rPr>
        <w:t xml:space="preserve">youth with </w:t>
      </w:r>
      <w:r w:rsidRPr="001D2ADB">
        <w:rPr>
          <w:rFonts w:ascii="Arial" w:hAnsi="Arial" w:cs="Arial"/>
        </w:rPr>
        <w:t>lipid disorders has greatly expanded. HMG-CoA reductase inhibitor</w:t>
      </w:r>
      <w:r w:rsidR="008C56AB" w:rsidRPr="001D2ADB">
        <w:rPr>
          <w:rFonts w:ascii="Arial" w:hAnsi="Arial" w:cs="Arial"/>
        </w:rPr>
        <w:t>s</w:t>
      </w:r>
      <w:r w:rsidRPr="001D2ADB">
        <w:rPr>
          <w:rFonts w:ascii="Arial" w:hAnsi="Arial" w:cs="Arial"/>
        </w:rPr>
        <w:t>, or statin</w:t>
      </w:r>
      <w:r w:rsidR="008C56AB" w:rsidRPr="001D2ADB">
        <w:rPr>
          <w:rFonts w:ascii="Arial" w:hAnsi="Arial" w:cs="Arial"/>
        </w:rPr>
        <w:t xml:space="preserve">s, are now considered </w:t>
      </w:r>
      <w:r w:rsidRPr="001D2ADB">
        <w:rPr>
          <w:rFonts w:ascii="Arial" w:hAnsi="Arial" w:cs="Arial"/>
        </w:rPr>
        <w:t xml:space="preserve">first-line pharmacologic </w:t>
      </w:r>
      <w:r w:rsidR="008C56AB" w:rsidRPr="001D2ADB">
        <w:rPr>
          <w:rFonts w:ascii="Arial" w:hAnsi="Arial" w:cs="Arial"/>
        </w:rPr>
        <w:t>treatment of children and adolescents</w:t>
      </w:r>
      <w:r w:rsidRPr="001D2ADB">
        <w:rPr>
          <w:rFonts w:ascii="Arial" w:hAnsi="Arial" w:cs="Arial"/>
        </w:rPr>
        <w:t xml:space="preserve"> with severe </w:t>
      </w:r>
      <w:r w:rsidR="00F03B0D" w:rsidRPr="001D2ADB">
        <w:rPr>
          <w:rFonts w:ascii="Arial" w:hAnsi="Arial" w:cs="Arial"/>
        </w:rPr>
        <w:lastRenderedPageBreak/>
        <w:t>hypercholesterolemia</w:t>
      </w:r>
      <w:r w:rsidRPr="001D2ADB">
        <w:rPr>
          <w:rFonts w:ascii="Arial" w:hAnsi="Arial" w:cs="Arial"/>
        </w:rPr>
        <w:t xml:space="preserve"> </w:t>
      </w:r>
      <w:r w:rsidR="008C56AB" w:rsidRPr="001D2ADB">
        <w:rPr>
          <w:rFonts w:ascii="Arial" w:hAnsi="Arial" w:cs="Arial"/>
        </w:rPr>
        <w:t>who fail</w:t>
      </w:r>
      <w:r w:rsidRPr="001D2ADB">
        <w:rPr>
          <w:rFonts w:ascii="Arial" w:hAnsi="Arial" w:cs="Arial"/>
        </w:rPr>
        <w:t xml:space="preserve"> treatment with diet and exercise alone</w:t>
      </w:r>
      <w:r w:rsidR="008C56AB" w:rsidRPr="001D2ADB">
        <w:rPr>
          <w:rFonts w:ascii="Arial" w:hAnsi="Arial" w:cs="Arial"/>
        </w:rPr>
        <w:t>, although statins are only FDA approved for youth with familial hypercholesterolemia</w:t>
      </w:r>
      <w:r w:rsidRPr="001D2ADB">
        <w:rPr>
          <w:rFonts w:ascii="Arial" w:hAnsi="Arial" w:cs="Arial"/>
        </w:rPr>
        <w:t xml:space="preserve">. Despite their ability to effectively reduced cholesterol levels, </w:t>
      </w:r>
      <w:r w:rsidR="008C56AB" w:rsidRPr="001D2ADB">
        <w:rPr>
          <w:rFonts w:ascii="Arial" w:hAnsi="Arial" w:cs="Arial"/>
        </w:rPr>
        <w:t xml:space="preserve">use of </w:t>
      </w:r>
      <w:r w:rsidRPr="001D2ADB">
        <w:rPr>
          <w:rFonts w:ascii="Arial" w:hAnsi="Arial" w:cs="Arial"/>
        </w:rPr>
        <w:t>bile acid sequestrants continue to pose challenges for pediatric patients due to their unpalatability</w:t>
      </w:r>
      <w:r w:rsidR="000100D3" w:rsidRPr="001D2ADB">
        <w:rPr>
          <w:rFonts w:ascii="Arial" w:hAnsi="Arial" w:cs="Arial"/>
        </w:rPr>
        <w:t xml:space="preserve"> and are typically utilized as adjunctive therapy or for patients not able to tolerate statins.</w:t>
      </w:r>
      <w:r w:rsidRPr="001D2ADB">
        <w:rPr>
          <w:rFonts w:ascii="Arial" w:hAnsi="Arial" w:cs="Arial"/>
        </w:rPr>
        <w:t xml:space="preserve"> Fibric acid derivatives</w:t>
      </w:r>
      <w:r w:rsidR="00127C90" w:rsidRPr="001D2ADB">
        <w:rPr>
          <w:rFonts w:ascii="Arial" w:hAnsi="Arial" w:cs="Arial"/>
        </w:rPr>
        <w:t>,</w:t>
      </w:r>
      <w:r w:rsidRPr="001D2ADB">
        <w:rPr>
          <w:rFonts w:ascii="Arial" w:hAnsi="Arial" w:cs="Arial"/>
        </w:rPr>
        <w:t xml:space="preserve"> as a class of medications</w:t>
      </w:r>
      <w:r w:rsidR="00127C90" w:rsidRPr="001D2ADB">
        <w:rPr>
          <w:rFonts w:ascii="Arial" w:hAnsi="Arial" w:cs="Arial"/>
        </w:rPr>
        <w:t>,</w:t>
      </w:r>
      <w:r w:rsidRPr="001D2ADB">
        <w:rPr>
          <w:rFonts w:ascii="Arial" w:hAnsi="Arial" w:cs="Arial"/>
        </w:rPr>
        <w:t xml:space="preserve"> not only lack an FDA approved agent, but also continue to lack </w:t>
      </w:r>
      <w:r w:rsidR="0012436C" w:rsidRPr="001D2ADB">
        <w:rPr>
          <w:rFonts w:ascii="Arial" w:hAnsi="Arial" w:cs="Arial"/>
        </w:rPr>
        <w:t xml:space="preserve">significant </w:t>
      </w:r>
      <w:r w:rsidRPr="001D2ADB">
        <w:rPr>
          <w:rFonts w:ascii="Arial" w:hAnsi="Arial" w:cs="Arial"/>
        </w:rPr>
        <w:t>pediatric safety and efficacy data. Niacin, a potential adjunct therapy, l</w:t>
      </w:r>
      <w:r w:rsidR="009C431C" w:rsidRPr="001D2ADB">
        <w:rPr>
          <w:rFonts w:ascii="Arial" w:hAnsi="Arial" w:cs="Arial"/>
        </w:rPr>
        <w:t>acks FDA approval for pediatric</w:t>
      </w:r>
      <w:r w:rsidRPr="001D2ADB">
        <w:rPr>
          <w:rFonts w:ascii="Arial" w:hAnsi="Arial" w:cs="Arial"/>
        </w:rPr>
        <w:t xml:space="preserve"> patients and is plagued by </w:t>
      </w:r>
      <w:r w:rsidR="000100D3" w:rsidRPr="001D2ADB">
        <w:rPr>
          <w:rFonts w:ascii="Arial" w:hAnsi="Arial" w:cs="Arial"/>
        </w:rPr>
        <w:t xml:space="preserve">significant </w:t>
      </w:r>
      <w:r w:rsidRPr="001D2ADB">
        <w:rPr>
          <w:rFonts w:ascii="Arial" w:hAnsi="Arial" w:cs="Arial"/>
        </w:rPr>
        <w:t>adverse effects</w:t>
      </w:r>
      <w:r w:rsidR="00EF0772" w:rsidRPr="001D2ADB">
        <w:rPr>
          <w:rFonts w:ascii="Arial" w:hAnsi="Arial" w:cs="Arial"/>
        </w:rPr>
        <w:t>,</w:t>
      </w:r>
      <w:r w:rsidR="000100D3" w:rsidRPr="001D2ADB">
        <w:rPr>
          <w:rFonts w:ascii="Arial" w:hAnsi="Arial" w:cs="Arial"/>
        </w:rPr>
        <w:t xml:space="preserve"> making it an unlikely therap</w:t>
      </w:r>
      <w:r w:rsidR="00EF0772" w:rsidRPr="001D2ADB">
        <w:rPr>
          <w:rFonts w:ascii="Arial" w:hAnsi="Arial" w:cs="Arial"/>
        </w:rPr>
        <w:t>eutic</w:t>
      </w:r>
      <w:r w:rsidR="000100D3" w:rsidRPr="001D2ADB">
        <w:rPr>
          <w:rFonts w:ascii="Arial" w:hAnsi="Arial" w:cs="Arial"/>
        </w:rPr>
        <w:t xml:space="preserve"> option for </w:t>
      </w:r>
      <w:r w:rsidR="00EF0772" w:rsidRPr="001D2ADB">
        <w:rPr>
          <w:rFonts w:ascii="Arial" w:hAnsi="Arial" w:cs="Arial"/>
        </w:rPr>
        <w:t>youth</w:t>
      </w:r>
      <w:r w:rsidRPr="001D2ADB">
        <w:rPr>
          <w:rFonts w:ascii="Arial" w:hAnsi="Arial" w:cs="Arial"/>
        </w:rPr>
        <w:t>.  Ezetimibe</w:t>
      </w:r>
      <w:r w:rsidR="000D58F6" w:rsidRPr="001D2ADB">
        <w:rPr>
          <w:rFonts w:ascii="Arial" w:hAnsi="Arial" w:cs="Arial"/>
        </w:rPr>
        <w:t xml:space="preserve"> </w:t>
      </w:r>
      <w:r w:rsidRPr="001D2ADB">
        <w:rPr>
          <w:rFonts w:ascii="Arial" w:hAnsi="Arial" w:cs="Arial"/>
        </w:rPr>
        <w:t>provides clinicians with a</w:t>
      </w:r>
      <w:r w:rsidR="00E25E0F" w:rsidRPr="001D2ADB">
        <w:rPr>
          <w:rFonts w:ascii="Arial" w:hAnsi="Arial" w:cs="Arial"/>
        </w:rPr>
        <w:t>n alternative</w:t>
      </w:r>
      <w:r w:rsidRPr="001D2ADB">
        <w:rPr>
          <w:rFonts w:ascii="Arial" w:hAnsi="Arial" w:cs="Arial"/>
        </w:rPr>
        <w:t xml:space="preserve"> adjunct therapy option when synergistically paired with an HMG-CoA reductase inhibitor</w:t>
      </w:r>
      <w:r w:rsidR="00E25E0F" w:rsidRPr="001D2ADB">
        <w:rPr>
          <w:rFonts w:ascii="Arial" w:hAnsi="Arial" w:cs="Arial"/>
        </w:rPr>
        <w:t xml:space="preserve"> or used as monotherapy for patients intolerant to statins and bile acid sequestrants</w:t>
      </w:r>
      <w:r w:rsidRPr="001D2ADB">
        <w:rPr>
          <w:rFonts w:ascii="Arial" w:hAnsi="Arial" w:cs="Arial"/>
        </w:rPr>
        <w:t xml:space="preserve">. </w:t>
      </w:r>
      <w:r w:rsidR="0067140A" w:rsidRPr="001D2ADB">
        <w:rPr>
          <w:rFonts w:ascii="Arial" w:hAnsi="Arial" w:cs="Arial"/>
        </w:rPr>
        <w:t>D</w:t>
      </w:r>
      <w:r w:rsidRPr="001D2ADB">
        <w:rPr>
          <w:rFonts w:ascii="Arial" w:hAnsi="Arial" w:cs="Arial"/>
        </w:rPr>
        <w:t xml:space="preserve">espite </w:t>
      </w:r>
      <w:r w:rsidR="00EF0772" w:rsidRPr="001D2ADB">
        <w:rPr>
          <w:rFonts w:ascii="Arial" w:hAnsi="Arial" w:cs="Arial"/>
        </w:rPr>
        <w:t>their inherit appeal and popularity amongst the lay public</w:t>
      </w:r>
      <w:r w:rsidRPr="001D2ADB">
        <w:rPr>
          <w:rFonts w:ascii="Arial" w:hAnsi="Arial" w:cs="Arial"/>
        </w:rPr>
        <w:t xml:space="preserve">, omega-3 fish oils </w:t>
      </w:r>
      <w:r w:rsidR="00E25E0F" w:rsidRPr="001D2ADB">
        <w:rPr>
          <w:rFonts w:ascii="Arial" w:hAnsi="Arial" w:cs="Arial"/>
        </w:rPr>
        <w:t xml:space="preserve">have failed to demonstrate statistically significant </w:t>
      </w:r>
      <w:r w:rsidR="00F03B0D" w:rsidRPr="001D2ADB">
        <w:rPr>
          <w:rFonts w:ascii="Arial" w:hAnsi="Arial" w:cs="Arial"/>
        </w:rPr>
        <w:t>cholesterol</w:t>
      </w:r>
      <w:r w:rsidR="00E25E0F" w:rsidRPr="001D2ADB">
        <w:rPr>
          <w:rFonts w:ascii="Arial" w:hAnsi="Arial" w:cs="Arial"/>
        </w:rPr>
        <w:t xml:space="preserve"> lowering in pediatric and adolescent patients</w:t>
      </w:r>
      <w:r w:rsidR="0067140A" w:rsidRPr="001D2ADB">
        <w:rPr>
          <w:rFonts w:ascii="Arial" w:hAnsi="Arial" w:cs="Arial"/>
        </w:rPr>
        <w:t>,</w:t>
      </w:r>
      <w:r w:rsidR="00F03B0D" w:rsidRPr="001D2ADB">
        <w:rPr>
          <w:rFonts w:ascii="Arial" w:hAnsi="Arial" w:cs="Arial"/>
        </w:rPr>
        <w:t xml:space="preserve"> but can be used to lower triglyceride levels</w:t>
      </w:r>
      <w:r w:rsidR="00E25E0F" w:rsidRPr="001D2ADB">
        <w:rPr>
          <w:rFonts w:ascii="Arial" w:hAnsi="Arial" w:cs="Arial"/>
        </w:rPr>
        <w:t>.</w:t>
      </w:r>
      <w:r w:rsidRPr="001D2ADB">
        <w:rPr>
          <w:rFonts w:ascii="Arial" w:hAnsi="Arial" w:cs="Arial"/>
        </w:rPr>
        <w:t xml:space="preserve"> </w:t>
      </w:r>
      <w:r w:rsidR="0064025E" w:rsidRPr="001D2ADB">
        <w:rPr>
          <w:rFonts w:ascii="Arial" w:hAnsi="Arial" w:cs="Arial"/>
        </w:rPr>
        <w:t xml:space="preserve">PCSK9 </w:t>
      </w:r>
      <w:r w:rsidR="0067140A" w:rsidRPr="001D2ADB">
        <w:rPr>
          <w:rFonts w:ascii="Arial" w:hAnsi="Arial" w:cs="Arial"/>
        </w:rPr>
        <w:t>and ANGPTL3</w:t>
      </w:r>
      <w:r w:rsidR="00875237" w:rsidRPr="001D2ADB">
        <w:rPr>
          <w:rFonts w:ascii="Arial" w:hAnsi="Arial" w:cs="Arial"/>
        </w:rPr>
        <w:t xml:space="preserve"> inhibiting</w:t>
      </w:r>
      <w:r w:rsidR="0067140A" w:rsidRPr="001D2ADB">
        <w:rPr>
          <w:rFonts w:ascii="Arial" w:hAnsi="Arial" w:cs="Arial"/>
        </w:rPr>
        <w:t xml:space="preserve"> agents </w:t>
      </w:r>
      <w:r w:rsidR="0064025E" w:rsidRPr="001D2ADB">
        <w:rPr>
          <w:rFonts w:ascii="Arial" w:hAnsi="Arial" w:cs="Arial"/>
        </w:rPr>
        <w:t xml:space="preserve">are promising </w:t>
      </w:r>
      <w:r w:rsidR="0067140A" w:rsidRPr="001D2ADB">
        <w:rPr>
          <w:rFonts w:ascii="Arial" w:hAnsi="Arial" w:cs="Arial"/>
        </w:rPr>
        <w:t xml:space="preserve">novel </w:t>
      </w:r>
      <w:r w:rsidR="0064025E" w:rsidRPr="001D2ADB">
        <w:rPr>
          <w:rFonts w:ascii="Arial" w:hAnsi="Arial" w:cs="Arial"/>
        </w:rPr>
        <w:t xml:space="preserve">treatment options in pediatric patients diagnosed with FH. </w:t>
      </w:r>
      <w:r w:rsidRPr="001D2ADB">
        <w:rPr>
          <w:rFonts w:ascii="Arial" w:hAnsi="Arial" w:cs="Arial"/>
        </w:rPr>
        <w:t xml:space="preserve">While recent years have witnessed a dramatic increase in </w:t>
      </w:r>
      <w:r w:rsidR="008C56AB" w:rsidRPr="001D2ADB">
        <w:rPr>
          <w:rFonts w:ascii="Arial" w:hAnsi="Arial" w:cs="Arial"/>
        </w:rPr>
        <w:t xml:space="preserve">studies </w:t>
      </w:r>
      <w:r w:rsidRPr="001D2ADB">
        <w:rPr>
          <w:rFonts w:ascii="Arial" w:hAnsi="Arial" w:cs="Arial"/>
        </w:rPr>
        <w:t>of lipid</w:t>
      </w:r>
      <w:r w:rsidR="008C56AB" w:rsidRPr="001D2ADB">
        <w:rPr>
          <w:rFonts w:ascii="Arial" w:hAnsi="Arial" w:cs="Arial"/>
        </w:rPr>
        <w:t xml:space="preserve"> lowering medications in youth, the </w:t>
      </w:r>
      <w:r w:rsidRPr="001D2ADB">
        <w:rPr>
          <w:rFonts w:ascii="Arial" w:hAnsi="Arial" w:cs="Arial"/>
        </w:rPr>
        <w:t xml:space="preserve">long-term </w:t>
      </w:r>
      <w:r w:rsidR="008C56AB" w:rsidRPr="001D2ADB">
        <w:rPr>
          <w:rFonts w:ascii="Arial" w:hAnsi="Arial" w:cs="Arial"/>
        </w:rPr>
        <w:t xml:space="preserve">safety and efficacy </w:t>
      </w:r>
      <w:r w:rsidRPr="001D2ADB">
        <w:rPr>
          <w:rFonts w:ascii="Arial" w:hAnsi="Arial" w:cs="Arial"/>
        </w:rPr>
        <w:t>data continu</w:t>
      </w:r>
      <w:r w:rsidR="008C56AB" w:rsidRPr="001D2ADB">
        <w:rPr>
          <w:rFonts w:ascii="Arial" w:hAnsi="Arial" w:cs="Arial"/>
        </w:rPr>
        <w:t>e</w:t>
      </w:r>
      <w:r w:rsidRPr="001D2ADB">
        <w:rPr>
          <w:rFonts w:ascii="Arial" w:hAnsi="Arial" w:cs="Arial"/>
        </w:rPr>
        <w:t xml:space="preserve"> to present an </w:t>
      </w:r>
      <w:r w:rsidR="008C56AB" w:rsidRPr="001D2ADB">
        <w:rPr>
          <w:rFonts w:ascii="Arial" w:hAnsi="Arial" w:cs="Arial"/>
        </w:rPr>
        <w:t>active focus</w:t>
      </w:r>
      <w:r w:rsidRPr="001D2ADB">
        <w:rPr>
          <w:rFonts w:ascii="Arial" w:hAnsi="Arial" w:cs="Arial"/>
        </w:rPr>
        <w:t xml:space="preserve"> of research.</w:t>
      </w:r>
    </w:p>
    <w:p w14:paraId="640A30B5" w14:textId="42599A93" w:rsidR="00CE11B4" w:rsidRPr="001D2ADB" w:rsidRDefault="00CE11B4" w:rsidP="001C0297">
      <w:pPr>
        <w:spacing w:after="0"/>
        <w:outlineLvl w:val="0"/>
        <w:rPr>
          <w:rFonts w:ascii="Arial" w:hAnsi="Arial" w:cs="Arial"/>
        </w:rPr>
      </w:pPr>
    </w:p>
    <w:p w14:paraId="7A3DFDA8" w14:textId="75CDD529" w:rsidR="00375B2B" w:rsidRPr="001D2ADB" w:rsidRDefault="00375B2B" w:rsidP="001C0297">
      <w:pPr>
        <w:spacing w:after="0"/>
        <w:ind w:left="576" w:hanging="576"/>
        <w:outlineLvl w:val="0"/>
        <w:rPr>
          <w:rFonts w:ascii="Arial" w:hAnsi="Arial" w:cs="Arial"/>
          <w:b/>
          <w:bCs/>
          <w:color w:val="0070C0"/>
        </w:rPr>
      </w:pPr>
      <w:r w:rsidRPr="001D2ADB">
        <w:rPr>
          <w:rFonts w:ascii="Arial" w:hAnsi="Arial" w:cs="Arial"/>
          <w:b/>
          <w:bCs/>
          <w:color w:val="0070C0"/>
        </w:rPr>
        <w:t>REFERENCES</w:t>
      </w:r>
    </w:p>
    <w:bookmarkEnd w:id="2"/>
    <w:p w14:paraId="068E6F7E" w14:textId="77777777" w:rsidR="00C76136" w:rsidRPr="00A90BAF" w:rsidRDefault="00C76136" w:rsidP="001C0297">
      <w:pPr>
        <w:spacing w:after="0"/>
        <w:ind w:left="576" w:hanging="576"/>
        <w:outlineLvl w:val="0"/>
        <w:rPr>
          <w:rFonts w:ascii="Arial" w:hAnsi="Arial" w:cs="Arial"/>
        </w:rPr>
      </w:pPr>
    </w:p>
    <w:p w14:paraId="3739121E" w14:textId="60625925" w:rsidR="00375B2B" w:rsidRPr="001D2ADB" w:rsidRDefault="00375B2B" w:rsidP="001C0297">
      <w:pPr>
        <w:spacing w:after="0"/>
        <w:ind w:left="576" w:hanging="576"/>
        <w:outlineLvl w:val="0"/>
        <w:rPr>
          <w:rFonts w:ascii="Arial" w:hAnsi="Arial" w:cs="Arial"/>
        </w:rPr>
      </w:pPr>
      <w:bookmarkStart w:id="7" w:name="_Hlk151750238"/>
      <w:r w:rsidRPr="001D2ADB">
        <w:rPr>
          <w:rFonts w:ascii="Arial" w:hAnsi="Arial" w:cs="Arial"/>
        </w:rPr>
        <w:t xml:space="preserve">1.  </w:t>
      </w:r>
      <w:r w:rsidR="008466EB" w:rsidRPr="001D2ADB">
        <w:rPr>
          <w:rFonts w:ascii="Arial" w:hAnsi="Arial" w:cs="Arial"/>
        </w:rPr>
        <w:t xml:space="preserve">    </w:t>
      </w:r>
      <w:r w:rsidRPr="001D2ADB">
        <w:rPr>
          <w:rFonts w:ascii="Arial" w:hAnsi="Arial" w:cs="Arial"/>
        </w:rPr>
        <w:t>McMahan CA, Gidding SS, Malcom GT, Tracy RE, Strong JP, McGill Jr HC.  Pathobiological determinants of atherosclerosis in youth risk scores are associated with early and advanced atherosclerosis. (PDAY) Pediatrics.  2006;118(4): 1447-1455.</w:t>
      </w:r>
    </w:p>
    <w:p w14:paraId="2378CBA9" w14:textId="463B9EDA" w:rsidR="00375B2B" w:rsidRPr="001D2ADB" w:rsidRDefault="00375B2B" w:rsidP="001D2ADB">
      <w:pPr>
        <w:spacing w:after="0"/>
        <w:ind w:left="576" w:hanging="576"/>
        <w:outlineLvl w:val="0"/>
        <w:rPr>
          <w:rFonts w:ascii="Arial" w:hAnsi="Arial" w:cs="Arial"/>
        </w:rPr>
      </w:pPr>
      <w:r w:rsidRPr="001D2ADB">
        <w:rPr>
          <w:rFonts w:ascii="Arial" w:hAnsi="Arial" w:cs="Arial"/>
        </w:rPr>
        <w:t xml:space="preserve">2.  </w:t>
      </w:r>
      <w:r w:rsidR="008466EB" w:rsidRPr="001D2ADB">
        <w:rPr>
          <w:rFonts w:ascii="Arial" w:hAnsi="Arial" w:cs="Arial"/>
        </w:rPr>
        <w:t xml:space="preserve">    </w:t>
      </w:r>
      <w:r w:rsidRPr="001D2ADB">
        <w:rPr>
          <w:rFonts w:ascii="Arial" w:hAnsi="Arial" w:cs="Arial"/>
        </w:rPr>
        <w:t>Newman III WP, Freedman DS, Voors AW, et al.  Relation of serum lipoprotein levels and systolic blood pressure to early atherosclerosis. (The Bogalusa Heart Study).  N Engl J Med. 1986;314(3):138-44.</w:t>
      </w:r>
    </w:p>
    <w:p w14:paraId="6C29E629" w14:textId="77E0706A" w:rsidR="00375B2B" w:rsidRPr="001D2ADB" w:rsidRDefault="00375B2B" w:rsidP="001D2ADB">
      <w:pPr>
        <w:spacing w:after="0"/>
        <w:ind w:left="576" w:hanging="576"/>
        <w:outlineLvl w:val="0"/>
        <w:rPr>
          <w:rFonts w:ascii="Arial" w:hAnsi="Arial" w:cs="Arial"/>
        </w:rPr>
      </w:pPr>
      <w:r w:rsidRPr="001D2ADB">
        <w:rPr>
          <w:rFonts w:ascii="Arial" w:hAnsi="Arial" w:cs="Arial"/>
        </w:rPr>
        <w:t xml:space="preserve">3.  </w:t>
      </w:r>
      <w:r w:rsidR="008466EB" w:rsidRPr="001D2ADB">
        <w:rPr>
          <w:rFonts w:ascii="Arial" w:hAnsi="Arial" w:cs="Arial"/>
        </w:rPr>
        <w:t xml:space="preserve">    </w:t>
      </w:r>
      <w:r w:rsidRPr="001D2ADB">
        <w:rPr>
          <w:rFonts w:ascii="Arial" w:hAnsi="Arial" w:cs="Arial"/>
        </w:rPr>
        <w:t>Berenson GS, Srinivasan SR, Bao W, Newman III WP, Tracy RE, Wattigney WA.  Association between multiple cardiovascular risk factors and atherosclerosis in children and young adults. (The Bogalusa Heart Study). N Engl J Med. 1998;338(23):1650-1656.</w:t>
      </w:r>
    </w:p>
    <w:p w14:paraId="1E6FB5F2" w14:textId="26BAFF6A" w:rsidR="00375B2B" w:rsidRPr="001D2ADB" w:rsidRDefault="00375B2B" w:rsidP="001D2ADB">
      <w:pPr>
        <w:spacing w:after="0"/>
        <w:ind w:left="576" w:hanging="576"/>
        <w:outlineLvl w:val="0"/>
        <w:rPr>
          <w:rFonts w:ascii="Arial" w:hAnsi="Arial" w:cs="Arial"/>
        </w:rPr>
      </w:pPr>
      <w:r w:rsidRPr="001D2ADB">
        <w:rPr>
          <w:rFonts w:ascii="Arial" w:hAnsi="Arial" w:cs="Arial"/>
        </w:rPr>
        <w:t xml:space="preserve">4.  </w:t>
      </w:r>
      <w:r w:rsidR="008466EB" w:rsidRPr="001D2ADB">
        <w:rPr>
          <w:rFonts w:ascii="Arial" w:hAnsi="Arial" w:cs="Arial"/>
        </w:rPr>
        <w:t xml:space="preserve">    </w:t>
      </w:r>
      <w:r w:rsidRPr="001D2ADB">
        <w:rPr>
          <w:rFonts w:ascii="Arial" w:hAnsi="Arial" w:cs="Arial"/>
        </w:rPr>
        <w:t xml:space="preserve">National Cholesterol Education Program (NCEP): Highlights of the Report of the Expert Panel on Blood Cholesterol Levels in Children and Adolescents.  Pediatrics.  </w:t>
      </w:r>
      <w:proofErr w:type="gramStart"/>
      <w:r w:rsidRPr="001D2ADB">
        <w:rPr>
          <w:rFonts w:ascii="Arial" w:hAnsi="Arial" w:cs="Arial"/>
        </w:rPr>
        <w:t>1992;89:495</w:t>
      </w:r>
      <w:proofErr w:type="gramEnd"/>
      <w:r w:rsidRPr="001D2ADB">
        <w:rPr>
          <w:rFonts w:ascii="Arial" w:hAnsi="Arial" w:cs="Arial"/>
        </w:rPr>
        <w:t>-501.</w:t>
      </w:r>
    </w:p>
    <w:p w14:paraId="3EA3D2EA" w14:textId="7ADE90BE" w:rsidR="009C13D3" w:rsidRPr="001D2ADB" w:rsidRDefault="009C13D3" w:rsidP="001D2ADB">
      <w:pPr>
        <w:spacing w:after="0"/>
        <w:ind w:left="576" w:hanging="576"/>
        <w:outlineLvl w:val="0"/>
        <w:rPr>
          <w:rFonts w:ascii="Arial" w:hAnsi="Arial" w:cs="Arial"/>
        </w:rPr>
      </w:pPr>
      <w:r w:rsidRPr="001D2ADB">
        <w:rPr>
          <w:rFonts w:ascii="Arial" w:hAnsi="Arial" w:cs="Arial"/>
        </w:rPr>
        <w:t xml:space="preserve">5.  </w:t>
      </w:r>
      <w:r w:rsidR="008466EB" w:rsidRPr="001D2ADB">
        <w:rPr>
          <w:rFonts w:ascii="Arial" w:hAnsi="Arial" w:cs="Arial"/>
        </w:rPr>
        <w:t xml:space="preserve">    </w:t>
      </w:r>
      <w:r w:rsidRPr="001D2ADB">
        <w:rPr>
          <w:rFonts w:ascii="Arial" w:hAnsi="Arial" w:cs="Arial"/>
        </w:rPr>
        <w:t>American Academy of Pediatrics. Committee on Nutrition. Cholesterol in childhood. Pediatrics.  1998;101 (1 Pt 1): 141-7.</w:t>
      </w:r>
    </w:p>
    <w:p w14:paraId="2DDF3838" w14:textId="54005183" w:rsidR="009C6530" w:rsidRPr="001D2ADB" w:rsidRDefault="00BD45E2" w:rsidP="001D2ADB">
      <w:pPr>
        <w:spacing w:after="0"/>
        <w:ind w:left="576" w:hanging="576"/>
        <w:rPr>
          <w:rFonts w:ascii="Arial" w:hAnsi="Arial" w:cs="Arial"/>
        </w:rPr>
      </w:pPr>
      <w:r w:rsidRPr="001D2ADB">
        <w:rPr>
          <w:rFonts w:ascii="Arial" w:hAnsi="Arial" w:cs="Arial"/>
        </w:rPr>
        <w:t>6</w:t>
      </w:r>
      <w:r w:rsidR="009C6530" w:rsidRPr="001D2ADB">
        <w:rPr>
          <w:rFonts w:ascii="Arial" w:hAnsi="Arial" w:cs="Arial"/>
        </w:rPr>
        <w:t xml:space="preserve">.  </w:t>
      </w:r>
      <w:r w:rsidR="008466EB" w:rsidRPr="001D2ADB">
        <w:rPr>
          <w:rFonts w:ascii="Arial" w:hAnsi="Arial" w:cs="Arial"/>
        </w:rPr>
        <w:t xml:space="preserve">    </w:t>
      </w:r>
      <w:r w:rsidR="009C6530" w:rsidRPr="001D2ADB">
        <w:rPr>
          <w:rFonts w:ascii="Arial" w:hAnsi="Arial" w:cs="Arial"/>
        </w:rPr>
        <w:t>Daniels SR, Greer FR. Lipid Screening and cardiovascular health in childhood. Pediatrics.</w:t>
      </w:r>
      <w:r w:rsidR="009C6530" w:rsidRPr="001D2ADB">
        <w:rPr>
          <w:rFonts w:ascii="Arial" w:hAnsi="Arial" w:cs="Arial"/>
          <w:color w:val="1F497D"/>
        </w:rPr>
        <w:t xml:space="preserve"> </w:t>
      </w:r>
      <w:proofErr w:type="gramStart"/>
      <w:r w:rsidR="009C6530" w:rsidRPr="001D2ADB">
        <w:rPr>
          <w:rFonts w:ascii="Arial" w:hAnsi="Arial" w:cs="Arial"/>
        </w:rPr>
        <w:t>2008;122:198</w:t>
      </w:r>
      <w:proofErr w:type="gramEnd"/>
      <w:r w:rsidR="009C6530" w:rsidRPr="001D2ADB">
        <w:rPr>
          <w:rFonts w:ascii="Arial" w:hAnsi="Arial" w:cs="Arial"/>
        </w:rPr>
        <w:t>-208.</w:t>
      </w:r>
    </w:p>
    <w:p w14:paraId="677C94AF" w14:textId="3D188129" w:rsidR="00375B2B" w:rsidRPr="001D2ADB" w:rsidRDefault="00BD45E2" w:rsidP="001D2ADB">
      <w:pPr>
        <w:spacing w:after="0"/>
        <w:ind w:left="576" w:hanging="576"/>
        <w:outlineLvl w:val="0"/>
        <w:rPr>
          <w:rFonts w:ascii="Arial" w:hAnsi="Arial" w:cs="Arial"/>
        </w:rPr>
      </w:pPr>
      <w:r w:rsidRPr="001D2ADB">
        <w:rPr>
          <w:rFonts w:ascii="Arial" w:hAnsi="Arial" w:cs="Arial"/>
        </w:rPr>
        <w:t>7</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 xml:space="preserve">National Center for Chronic Disease Prevention and Health Promotion, Division of Adolescent and School Health.  Youth Risk Behavior </w:t>
      </w:r>
      <w:proofErr w:type="gramStart"/>
      <w:r w:rsidR="00375B2B" w:rsidRPr="001D2ADB">
        <w:rPr>
          <w:rFonts w:ascii="Arial" w:hAnsi="Arial" w:cs="Arial"/>
        </w:rPr>
        <w:t>Sheet(</w:t>
      </w:r>
      <w:proofErr w:type="gramEnd"/>
      <w:r w:rsidR="00375B2B" w:rsidRPr="001D2ADB">
        <w:rPr>
          <w:rFonts w:ascii="Arial" w:hAnsi="Arial" w:cs="Arial"/>
        </w:rPr>
        <w:t>YRBS): National Trends, 1991-2009: Obesity, Dietary Behaviors, and Weight Control Practices.  http://www.cdc.gov/healthyyouth/yrbs/pdf/us_obesity_trend_yrbs.pdf.  Updated October 5, 2011.  Accessed December 2011.</w:t>
      </w:r>
    </w:p>
    <w:p w14:paraId="3160DD55" w14:textId="192FFAC6" w:rsidR="00375B2B" w:rsidRPr="001D2ADB" w:rsidRDefault="00BD45E2" w:rsidP="001D2ADB">
      <w:pPr>
        <w:spacing w:after="0"/>
        <w:ind w:left="576" w:hanging="576"/>
        <w:outlineLvl w:val="0"/>
        <w:rPr>
          <w:rFonts w:ascii="Arial" w:hAnsi="Arial" w:cs="Arial"/>
        </w:rPr>
      </w:pPr>
      <w:r w:rsidRPr="001D2ADB">
        <w:rPr>
          <w:rFonts w:ascii="Arial" w:hAnsi="Arial" w:cs="Arial"/>
        </w:rPr>
        <w:t>8</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 xml:space="preserve">McCrindle BW, Urbina EM, Dennison BA, Jacobson MS, Steinberger J, Rocchini AP, Hayman LL, Daniels SR. American Heart Association scientific statement: drug therapy of high-risk lipid abnormalities in children and adolescents. Circulation. </w:t>
      </w:r>
      <w:proofErr w:type="gramStart"/>
      <w:r w:rsidR="00375B2B" w:rsidRPr="001D2ADB">
        <w:rPr>
          <w:rFonts w:ascii="Arial" w:hAnsi="Arial" w:cs="Arial"/>
        </w:rPr>
        <w:t>2007;115:1948</w:t>
      </w:r>
      <w:proofErr w:type="gramEnd"/>
      <w:r w:rsidR="00375B2B" w:rsidRPr="001D2ADB">
        <w:rPr>
          <w:rFonts w:ascii="Arial" w:hAnsi="Arial" w:cs="Arial"/>
        </w:rPr>
        <w:t>-67.</w:t>
      </w:r>
    </w:p>
    <w:p w14:paraId="6C17E4F6" w14:textId="0E7E4A32" w:rsidR="00375B2B" w:rsidRPr="001D2ADB" w:rsidRDefault="00BD45E2" w:rsidP="001D2ADB">
      <w:pPr>
        <w:spacing w:after="0"/>
        <w:ind w:left="576" w:hanging="576"/>
        <w:outlineLvl w:val="0"/>
        <w:rPr>
          <w:rFonts w:ascii="Arial" w:hAnsi="Arial" w:cs="Arial"/>
        </w:rPr>
      </w:pPr>
      <w:r w:rsidRPr="001D2ADB">
        <w:rPr>
          <w:rFonts w:ascii="Arial" w:hAnsi="Arial" w:cs="Arial"/>
        </w:rPr>
        <w:lastRenderedPageBreak/>
        <w:t>9</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National Heart Lung and Blood Institute (NHLBI): Expert Panel on Integrated Guidelines for Cardiovascular Health and Risk Reduction in Children and Adolescents: Summary Report.  Pediatrics.  2011;128(S5</w:t>
      </w:r>
      <w:proofErr w:type="gramStart"/>
      <w:r w:rsidR="00375B2B" w:rsidRPr="001D2ADB">
        <w:rPr>
          <w:rFonts w:ascii="Arial" w:hAnsi="Arial" w:cs="Arial"/>
        </w:rPr>
        <w:t>):S</w:t>
      </w:r>
      <w:proofErr w:type="gramEnd"/>
      <w:r w:rsidR="00375B2B" w:rsidRPr="001D2ADB">
        <w:rPr>
          <w:rFonts w:ascii="Arial" w:hAnsi="Arial" w:cs="Arial"/>
        </w:rPr>
        <w:t>213-S256.</w:t>
      </w:r>
    </w:p>
    <w:p w14:paraId="6BB79E76" w14:textId="1BDA18E7" w:rsidR="00375B2B" w:rsidRPr="001D2ADB" w:rsidRDefault="00BD45E2" w:rsidP="001D2ADB">
      <w:pPr>
        <w:spacing w:after="0"/>
        <w:ind w:left="576" w:hanging="576"/>
        <w:outlineLvl w:val="0"/>
        <w:rPr>
          <w:rFonts w:ascii="Arial" w:hAnsi="Arial" w:cs="Arial"/>
        </w:rPr>
      </w:pPr>
      <w:r w:rsidRPr="001D2ADB">
        <w:rPr>
          <w:rFonts w:ascii="Arial" w:hAnsi="Arial" w:cs="Arial"/>
        </w:rPr>
        <w:t>10</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 xml:space="preserve">Kavey RW, </w:t>
      </w:r>
      <w:proofErr w:type="spellStart"/>
      <w:r w:rsidR="00375B2B" w:rsidRPr="001D2ADB">
        <w:rPr>
          <w:rFonts w:ascii="Arial" w:hAnsi="Arial" w:cs="Arial"/>
        </w:rPr>
        <w:t>Allada</w:t>
      </w:r>
      <w:proofErr w:type="spellEnd"/>
      <w:r w:rsidR="00375B2B" w:rsidRPr="001D2ADB">
        <w:rPr>
          <w:rFonts w:ascii="Arial" w:hAnsi="Arial" w:cs="Arial"/>
        </w:rPr>
        <w:t xml:space="preserve"> V, Daniels SR, Hayman LL, McCrindle BW, Newburger JW, Parekh </w:t>
      </w:r>
      <w:r w:rsidR="008466EB" w:rsidRPr="001D2ADB">
        <w:rPr>
          <w:rFonts w:ascii="Arial" w:hAnsi="Arial" w:cs="Arial"/>
        </w:rPr>
        <w:t xml:space="preserve">   </w:t>
      </w:r>
      <w:r w:rsidR="00375B2B" w:rsidRPr="001D2ADB">
        <w:rPr>
          <w:rFonts w:ascii="Arial" w:hAnsi="Arial" w:cs="Arial"/>
        </w:rPr>
        <w:t xml:space="preserve">RS, Steinberger J. American Heart Association scientific statement: cardiovascular risk reduction in high-risk pediatric patients. Circulation. </w:t>
      </w:r>
      <w:proofErr w:type="gramStart"/>
      <w:r w:rsidR="00375B2B" w:rsidRPr="001D2ADB">
        <w:rPr>
          <w:rFonts w:ascii="Arial" w:hAnsi="Arial" w:cs="Arial"/>
        </w:rPr>
        <w:t>2006;114:2710</w:t>
      </w:r>
      <w:proofErr w:type="gramEnd"/>
      <w:r w:rsidR="00375B2B" w:rsidRPr="001D2ADB">
        <w:rPr>
          <w:rFonts w:ascii="Arial" w:hAnsi="Arial" w:cs="Arial"/>
        </w:rPr>
        <w:t>-38.</w:t>
      </w:r>
    </w:p>
    <w:p w14:paraId="7E4700AF" w14:textId="5D69EB56" w:rsidR="00375B2B" w:rsidRPr="001D2ADB" w:rsidRDefault="001072B2" w:rsidP="001D2ADB">
      <w:pPr>
        <w:spacing w:after="0"/>
        <w:ind w:left="576" w:hanging="576"/>
        <w:outlineLvl w:val="0"/>
        <w:rPr>
          <w:rFonts w:ascii="Arial" w:hAnsi="Arial" w:cs="Arial"/>
        </w:rPr>
      </w:pPr>
      <w:r w:rsidRPr="001D2ADB">
        <w:rPr>
          <w:rFonts w:ascii="Arial" w:hAnsi="Arial" w:cs="Arial"/>
        </w:rPr>
        <w:t>1</w:t>
      </w:r>
      <w:r w:rsidR="00BD45E2" w:rsidRPr="001D2ADB">
        <w:rPr>
          <w:rFonts w:ascii="Arial" w:hAnsi="Arial" w:cs="Arial"/>
        </w:rPr>
        <w:t>1</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 xml:space="preserve">Sibley C, Stone NJ. Familial hypercholesterolemia: a challenge of diagnosis and therapy. Cleve Clin J Med. </w:t>
      </w:r>
      <w:proofErr w:type="gramStart"/>
      <w:r w:rsidR="00375B2B" w:rsidRPr="001D2ADB">
        <w:rPr>
          <w:rFonts w:ascii="Arial" w:hAnsi="Arial" w:cs="Arial"/>
        </w:rPr>
        <w:t>2006;73:57</w:t>
      </w:r>
      <w:proofErr w:type="gramEnd"/>
      <w:r w:rsidR="00375B2B" w:rsidRPr="001D2ADB">
        <w:rPr>
          <w:rFonts w:ascii="Arial" w:hAnsi="Arial" w:cs="Arial"/>
        </w:rPr>
        <w:t>-64.</w:t>
      </w:r>
    </w:p>
    <w:p w14:paraId="43762EF7" w14:textId="57F6C732" w:rsidR="00443190" w:rsidRPr="001D2ADB" w:rsidRDefault="00443190" w:rsidP="001D2ADB">
      <w:pPr>
        <w:spacing w:after="0"/>
        <w:ind w:left="576" w:hanging="576"/>
        <w:outlineLvl w:val="0"/>
        <w:rPr>
          <w:rFonts w:ascii="Arial" w:hAnsi="Arial" w:cs="Arial"/>
        </w:rPr>
      </w:pPr>
      <w:r w:rsidRPr="001D2ADB">
        <w:rPr>
          <w:rFonts w:ascii="Arial" w:hAnsi="Arial" w:cs="Arial"/>
        </w:rPr>
        <w:t>12.</w:t>
      </w:r>
      <w:r w:rsidRPr="001D2ADB">
        <w:rPr>
          <w:rFonts w:ascii="Arial" w:hAnsi="Arial" w:cs="Arial"/>
        </w:rPr>
        <w:tab/>
        <w:t>Division of Reproductive Health, National Center for Chronic Disease Prevention and Health Promotion. US Medical Eligibility Criteria for Contraceptive Use, 2016 (US MEC). https://www.cdc.gov/reproductivehealth/contraception/mmwr/mec/summary.html. Updated March 27, 2023.  Accessed November 2023.</w:t>
      </w:r>
    </w:p>
    <w:p w14:paraId="04F24877" w14:textId="7EF02289" w:rsidR="00375B2B" w:rsidRPr="001D2ADB" w:rsidRDefault="00375B2B" w:rsidP="001D2ADB">
      <w:pPr>
        <w:spacing w:after="0"/>
        <w:ind w:left="576" w:hanging="576"/>
        <w:outlineLvl w:val="0"/>
        <w:rPr>
          <w:rFonts w:ascii="Arial" w:hAnsi="Arial" w:cs="Arial"/>
        </w:rPr>
      </w:pPr>
      <w:r w:rsidRPr="001D2ADB">
        <w:rPr>
          <w:rFonts w:ascii="Arial" w:hAnsi="Arial" w:cs="Arial"/>
        </w:rPr>
        <w:t>1</w:t>
      </w:r>
      <w:r w:rsidR="00443190" w:rsidRPr="001D2ADB">
        <w:rPr>
          <w:rFonts w:ascii="Arial" w:hAnsi="Arial" w:cs="Arial"/>
        </w:rPr>
        <w:t>3</w:t>
      </w:r>
      <w:r w:rsidRPr="001D2ADB">
        <w:rPr>
          <w:rFonts w:ascii="Arial" w:hAnsi="Arial" w:cs="Arial"/>
        </w:rPr>
        <w:t xml:space="preserve">.  </w:t>
      </w:r>
      <w:r w:rsidR="008466EB" w:rsidRPr="001D2ADB">
        <w:rPr>
          <w:rFonts w:ascii="Arial" w:hAnsi="Arial" w:cs="Arial"/>
        </w:rPr>
        <w:t xml:space="preserve">  </w:t>
      </w:r>
      <w:r w:rsidRPr="001D2ADB">
        <w:rPr>
          <w:rFonts w:ascii="Arial" w:hAnsi="Arial" w:cs="Arial"/>
        </w:rPr>
        <w:t>Atorvastatin product monograph. Pfizer. New York, NY. 2007.</w:t>
      </w:r>
    </w:p>
    <w:p w14:paraId="5DD2BFB1" w14:textId="322B23A8" w:rsidR="00375B2B" w:rsidRPr="001D2ADB" w:rsidRDefault="001072B2" w:rsidP="001D2ADB">
      <w:pPr>
        <w:spacing w:after="0"/>
        <w:ind w:left="576" w:hanging="576"/>
        <w:outlineLvl w:val="0"/>
        <w:rPr>
          <w:rFonts w:ascii="Arial" w:hAnsi="Arial" w:cs="Arial"/>
        </w:rPr>
      </w:pPr>
      <w:r w:rsidRPr="001D2ADB">
        <w:rPr>
          <w:rFonts w:ascii="Arial" w:hAnsi="Arial" w:cs="Arial"/>
        </w:rPr>
        <w:t>1</w:t>
      </w:r>
      <w:r w:rsidR="00443190" w:rsidRPr="001D2ADB">
        <w:rPr>
          <w:rFonts w:ascii="Arial" w:hAnsi="Arial" w:cs="Arial"/>
        </w:rPr>
        <w:t>4</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Fluvastatin product monograph. Novartis. East Hanover, NJ. 2006.</w:t>
      </w:r>
    </w:p>
    <w:p w14:paraId="7910C78F" w14:textId="36DCD1FD" w:rsidR="00375B2B" w:rsidRPr="001D2ADB" w:rsidRDefault="001072B2" w:rsidP="001D2ADB">
      <w:pPr>
        <w:spacing w:after="0"/>
        <w:ind w:left="576" w:hanging="576"/>
        <w:outlineLvl w:val="0"/>
        <w:rPr>
          <w:rFonts w:ascii="Arial" w:hAnsi="Arial" w:cs="Arial"/>
        </w:rPr>
      </w:pPr>
      <w:r w:rsidRPr="001D2ADB">
        <w:rPr>
          <w:rFonts w:ascii="Arial" w:hAnsi="Arial" w:cs="Arial"/>
        </w:rPr>
        <w:t>1</w:t>
      </w:r>
      <w:r w:rsidR="00443190" w:rsidRPr="001D2ADB">
        <w:rPr>
          <w:rFonts w:ascii="Arial" w:hAnsi="Arial" w:cs="Arial"/>
        </w:rPr>
        <w:t>5</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Lovastatin product monograph. Merck &amp; Co. Whitehouse Station, NJ. 2007.</w:t>
      </w:r>
    </w:p>
    <w:p w14:paraId="13C4A61F" w14:textId="7808B69C" w:rsidR="00375B2B" w:rsidRPr="001D2ADB" w:rsidRDefault="001072B2" w:rsidP="001D2ADB">
      <w:pPr>
        <w:spacing w:after="0"/>
        <w:ind w:left="576" w:hanging="576"/>
        <w:outlineLvl w:val="0"/>
        <w:rPr>
          <w:rFonts w:ascii="Arial" w:hAnsi="Arial" w:cs="Arial"/>
        </w:rPr>
      </w:pPr>
      <w:r w:rsidRPr="001D2ADB">
        <w:rPr>
          <w:rFonts w:ascii="Arial" w:hAnsi="Arial" w:cs="Arial"/>
        </w:rPr>
        <w:t>1</w:t>
      </w:r>
      <w:r w:rsidR="00443190" w:rsidRPr="001D2ADB">
        <w:rPr>
          <w:rFonts w:ascii="Arial" w:hAnsi="Arial" w:cs="Arial"/>
        </w:rPr>
        <w:t>6</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Pravastatin product monograph. Bristol-Myers Squibb Company. Princeton, NJ. 2007.</w:t>
      </w:r>
    </w:p>
    <w:p w14:paraId="7A25BFC3" w14:textId="7A28F4B1" w:rsidR="00375B2B" w:rsidRPr="001D2ADB" w:rsidRDefault="001072B2" w:rsidP="001D2ADB">
      <w:pPr>
        <w:spacing w:after="0"/>
        <w:ind w:left="576" w:hanging="576"/>
        <w:outlineLvl w:val="0"/>
        <w:rPr>
          <w:rFonts w:ascii="Arial" w:hAnsi="Arial" w:cs="Arial"/>
        </w:rPr>
      </w:pPr>
      <w:r w:rsidRPr="001D2ADB">
        <w:rPr>
          <w:rFonts w:ascii="Arial" w:hAnsi="Arial" w:cs="Arial"/>
        </w:rPr>
        <w:t>1</w:t>
      </w:r>
      <w:r w:rsidR="00443190" w:rsidRPr="001D2ADB">
        <w:rPr>
          <w:rFonts w:ascii="Arial" w:hAnsi="Arial" w:cs="Arial"/>
        </w:rPr>
        <w:t>7</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Rosuvastatin product monograph. AstraZeneca. Wilmington, DE. 2011.</w:t>
      </w:r>
    </w:p>
    <w:p w14:paraId="40BDC5D2" w14:textId="77777777" w:rsidR="00414F3C" w:rsidRPr="001D2ADB" w:rsidRDefault="001072B2" w:rsidP="001D2ADB">
      <w:pPr>
        <w:spacing w:after="0"/>
        <w:ind w:left="576" w:hanging="576"/>
        <w:outlineLvl w:val="0"/>
        <w:rPr>
          <w:rFonts w:ascii="Arial" w:hAnsi="Arial" w:cs="Arial"/>
        </w:rPr>
      </w:pPr>
      <w:r w:rsidRPr="001D2ADB">
        <w:rPr>
          <w:rFonts w:ascii="Arial" w:hAnsi="Arial" w:cs="Arial"/>
        </w:rPr>
        <w:t>1</w:t>
      </w:r>
      <w:r w:rsidR="00443190" w:rsidRPr="001D2ADB">
        <w:rPr>
          <w:rFonts w:ascii="Arial" w:hAnsi="Arial" w:cs="Arial"/>
        </w:rPr>
        <w:t>8</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Simvastatin product monograph. Merck &amp; Co. Whitehouse Station, NJ. 2006.</w:t>
      </w:r>
    </w:p>
    <w:p w14:paraId="0C070C6E" w14:textId="3D7620C3" w:rsidR="00414F3C" w:rsidRPr="001D2ADB" w:rsidRDefault="00414F3C" w:rsidP="001D2ADB">
      <w:pPr>
        <w:spacing w:after="0"/>
        <w:ind w:left="576" w:hanging="576"/>
        <w:outlineLvl w:val="0"/>
        <w:rPr>
          <w:rFonts w:ascii="Arial" w:hAnsi="Arial" w:cs="Arial"/>
        </w:rPr>
      </w:pPr>
      <w:r w:rsidRPr="001D2ADB">
        <w:rPr>
          <w:rFonts w:ascii="Arial" w:hAnsi="Arial" w:cs="Arial"/>
        </w:rPr>
        <w:t>19.</w:t>
      </w:r>
      <w:r w:rsidRPr="001D2ADB">
        <w:rPr>
          <w:rFonts w:ascii="Arial" w:hAnsi="Arial" w:cs="Arial"/>
        </w:rPr>
        <w:tab/>
        <w:t>Pitavastatin product monograph. Kowa. Montgomery, AL. 2022.</w:t>
      </w:r>
    </w:p>
    <w:p w14:paraId="713EA9DA" w14:textId="79F14236" w:rsidR="00414F3C" w:rsidRPr="001D2ADB" w:rsidRDefault="00414F3C" w:rsidP="001D2ADB">
      <w:pPr>
        <w:spacing w:after="0"/>
        <w:ind w:left="576" w:hanging="576"/>
        <w:outlineLvl w:val="0"/>
        <w:rPr>
          <w:rFonts w:ascii="Arial" w:hAnsi="Arial" w:cs="Arial"/>
        </w:rPr>
      </w:pPr>
      <w:r w:rsidRPr="001D2ADB">
        <w:rPr>
          <w:rFonts w:ascii="Arial" w:hAnsi="Arial" w:cs="Arial"/>
        </w:rPr>
        <w:t>20.</w:t>
      </w:r>
      <w:r w:rsidRPr="001D2ADB">
        <w:rPr>
          <w:rFonts w:ascii="Arial" w:hAnsi="Arial" w:cs="Arial"/>
        </w:rPr>
        <w:tab/>
      </w:r>
      <w:r w:rsidRPr="001D2ADB">
        <w:rPr>
          <w:rFonts w:ascii="Arial" w:hAnsi="Arial" w:cs="Arial"/>
          <w:shd w:val="clear" w:color="auto" w:fill="FFFFFF"/>
        </w:rPr>
        <w:t>Ferrari F., Martins V.M., Rocha V.Z., Santos R.D. Advances with lipid-lowering drugs for pediatric patients with familial hypercholesterolemia. </w:t>
      </w:r>
      <w:r w:rsidRPr="001D2ADB">
        <w:rPr>
          <w:rStyle w:val="ref-journal"/>
          <w:rFonts w:ascii="Arial" w:hAnsi="Arial" w:cs="Arial"/>
          <w:i/>
          <w:iCs/>
          <w:shd w:val="clear" w:color="auto" w:fill="FFFFFF"/>
        </w:rPr>
        <w:t xml:space="preserve">Expert </w:t>
      </w:r>
      <w:proofErr w:type="spellStart"/>
      <w:r w:rsidRPr="001D2ADB">
        <w:rPr>
          <w:rStyle w:val="ref-journal"/>
          <w:rFonts w:ascii="Arial" w:hAnsi="Arial" w:cs="Arial"/>
          <w:i/>
          <w:iCs/>
          <w:shd w:val="clear" w:color="auto" w:fill="FFFFFF"/>
        </w:rPr>
        <w:t>Opin</w:t>
      </w:r>
      <w:proofErr w:type="spellEnd"/>
      <w:r w:rsidRPr="001D2ADB">
        <w:rPr>
          <w:rStyle w:val="ref-journal"/>
          <w:rFonts w:ascii="Arial" w:hAnsi="Arial" w:cs="Arial"/>
          <w:i/>
          <w:iCs/>
          <w:shd w:val="clear" w:color="auto" w:fill="FFFFFF"/>
        </w:rPr>
        <w:t xml:space="preserve">. </w:t>
      </w:r>
      <w:proofErr w:type="spellStart"/>
      <w:r w:rsidRPr="001D2ADB">
        <w:rPr>
          <w:rStyle w:val="ref-journal"/>
          <w:rFonts w:ascii="Arial" w:hAnsi="Arial" w:cs="Arial"/>
          <w:i/>
          <w:iCs/>
          <w:shd w:val="clear" w:color="auto" w:fill="FFFFFF"/>
        </w:rPr>
        <w:t>Pharmacother</w:t>
      </w:r>
      <w:proofErr w:type="spellEnd"/>
      <w:r w:rsidRPr="001D2ADB">
        <w:rPr>
          <w:rStyle w:val="ref-journal"/>
          <w:rFonts w:ascii="Arial" w:hAnsi="Arial" w:cs="Arial"/>
          <w:i/>
          <w:iCs/>
          <w:shd w:val="clear" w:color="auto" w:fill="FFFFFF"/>
        </w:rPr>
        <w:t>. </w:t>
      </w:r>
      <w:proofErr w:type="gramStart"/>
      <w:r w:rsidRPr="001D2ADB">
        <w:rPr>
          <w:rFonts w:ascii="Arial" w:hAnsi="Arial" w:cs="Arial"/>
          <w:shd w:val="clear" w:color="auto" w:fill="FFFFFF"/>
        </w:rPr>
        <w:t>2021;</w:t>
      </w:r>
      <w:r w:rsidRPr="001D2ADB">
        <w:rPr>
          <w:rStyle w:val="ref-vol"/>
          <w:rFonts w:ascii="Arial" w:hAnsi="Arial" w:cs="Arial"/>
          <w:shd w:val="clear" w:color="auto" w:fill="FFFFFF"/>
        </w:rPr>
        <w:t>22</w:t>
      </w:r>
      <w:r w:rsidRPr="001D2ADB">
        <w:rPr>
          <w:rFonts w:ascii="Arial" w:hAnsi="Arial" w:cs="Arial"/>
          <w:shd w:val="clear" w:color="auto" w:fill="FFFFFF"/>
        </w:rPr>
        <w:t>:483</w:t>
      </w:r>
      <w:proofErr w:type="gramEnd"/>
      <w:r w:rsidRPr="001D2ADB">
        <w:rPr>
          <w:rFonts w:ascii="Arial" w:hAnsi="Arial" w:cs="Arial"/>
          <w:shd w:val="clear" w:color="auto" w:fill="FFFFFF"/>
        </w:rPr>
        <w:t xml:space="preserve">–495. </w:t>
      </w:r>
      <w:proofErr w:type="spellStart"/>
      <w:r w:rsidRPr="001D2ADB">
        <w:rPr>
          <w:rFonts w:ascii="Arial" w:hAnsi="Arial" w:cs="Arial"/>
          <w:shd w:val="clear" w:color="auto" w:fill="FFFFFF"/>
        </w:rPr>
        <w:t>doi</w:t>
      </w:r>
      <w:proofErr w:type="spellEnd"/>
      <w:r w:rsidRPr="001D2ADB">
        <w:rPr>
          <w:rFonts w:ascii="Arial" w:hAnsi="Arial" w:cs="Arial"/>
          <w:shd w:val="clear" w:color="auto" w:fill="FFFFFF"/>
        </w:rPr>
        <w:t>: 10.1080/14656566.2020.1832991.</w:t>
      </w:r>
    </w:p>
    <w:p w14:paraId="015F27C1" w14:textId="7482B569" w:rsidR="00375B2B" w:rsidRPr="001D2ADB" w:rsidRDefault="00443190" w:rsidP="001D2ADB">
      <w:pPr>
        <w:spacing w:after="0"/>
        <w:ind w:left="576" w:hanging="576"/>
        <w:outlineLvl w:val="0"/>
        <w:rPr>
          <w:rFonts w:ascii="Arial" w:hAnsi="Arial" w:cs="Arial"/>
        </w:rPr>
      </w:pPr>
      <w:r w:rsidRPr="001D2ADB">
        <w:rPr>
          <w:rFonts w:ascii="Arial" w:hAnsi="Arial" w:cs="Arial"/>
        </w:rPr>
        <w:t>21</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 xml:space="preserve">Haney EM, Huffman LH, Bougatsos C, Freeman M, Steiner RD, Nelson HD. Screening and treatment for lipid disorders in children and adolescents: systematic evidence </w:t>
      </w:r>
      <w:proofErr w:type="gramStart"/>
      <w:r w:rsidR="00375B2B" w:rsidRPr="001D2ADB">
        <w:rPr>
          <w:rFonts w:ascii="Arial" w:hAnsi="Arial" w:cs="Arial"/>
        </w:rPr>
        <w:t>review</w:t>
      </w:r>
      <w:proofErr w:type="gramEnd"/>
      <w:r w:rsidR="00375B2B" w:rsidRPr="001D2ADB">
        <w:rPr>
          <w:rFonts w:ascii="Arial" w:hAnsi="Arial" w:cs="Arial"/>
        </w:rPr>
        <w:t xml:space="preserve"> for the US preventive services task force. Pediatrics. 2007;</w:t>
      </w:r>
      <w:proofErr w:type="gramStart"/>
      <w:r w:rsidR="00375B2B" w:rsidRPr="001D2ADB">
        <w:rPr>
          <w:rFonts w:ascii="Arial" w:hAnsi="Arial" w:cs="Arial"/>
        </w:rPr>
        <w:t>120:e</w:t>
      </w:r>
      <w:proofErr w:type="gramEnd"/>
      <w:r w:rsidR="00375B2B" w:rsidRPr="001D2ADB">
        <w:rPr>
          <w:rFonts w:ascii="Arial" w:hAnsi="Arial" w:cs="Arial"/>
        </w:rPr>
        <w:t>189-214.</w:t>
      </w:r>
    </w:p>
    <w:p w14:paraId="3A84C904" w14:textId="1F8A5B82" w:rsidR="00375B2B" w:rsidRPr="001D2ADB" w:rsidRDefault="00414F3C" w:rsidP="001D2ADB">
      <w:pPr>
        <w:spacing w:after="0"/>
        <w:ind w:left="576" w:hanging="576"/>
        <w:outlineLvl w:val="0"/>
        <w:rPr>
          <w:rFonts w:ascii="Arial" w:hAnsi="Arial" w:cs="Arial"/>
        </w:rPr>
      </w:pPr>
      <w:r w:rsidRPr="001D2ADB">
        <w:rPr>
          <w:rFonts w:ascii="Arial" w:hAnsi="Arial" w:cs="Arial"/>
        </w:rPr>
        <w:t>22</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 xml:space="preserve">McCrindle BW, Ose L, Marais AD. Efficacy and safety of atorvastatin in children and adolescents with familial hypercholesterolemia or severe hyperlipidemia: a multi-center, randomized, placebo-controlled trial. J Pediatr. </w:t>
      </w:r>
      <w:proofErr w:type="gramStart"/>
      <w:r w:rsidR="00375B2B" w:rsidRPr="001D2ADB">
        <w:rPr>
          <w:rFonts w:ascii="Arial" w:hAnsi="Arial" w:cs="Arial"/>
        </w:rPr>
        <w:t>2003;142:74</w:t>
      </w:r>
      <w:proofErr w:type="gramEnd"/>
      <w:r w:rsidR="00375B2B" w:rsidRPr="001D2ADB">
        <w:rPr>
          <w:rFonts w:ascii="Arial" w:hAnsi="Arial" w:cs="Arial"/>
        </w:rPr>
        <w:t>-80.</w:t>
      </w:r>
    </w:p>
    <w:p w14:paraId="1320773F" w14:textId="5464EC68" w:rsidR="00375B2B" w:rsidRPr="001D2ADB" w:rsidRDefault="00414F3C" w:rsidP="001D2ADB">
      <w:pPr>
        <w:spacing w:after="0"/>
        <w:ind w:left="576" w:hanging="576"/>
        <w:outlineLvl w:val="0"/>
        <w:rPr>
          <w:rFonts w:ascii="Arial" w:hAnsi="Arial" w:cs="Arial"/>
        </w:rPr>
      </w:pPr>
      <w:r w:rsidRPr="001D2ADB">
        <w:rPr>
          <w:rFonts w:ascii="Arial" w:hAnsi="Arial" w:cs="Arial"/>
        </w:rPr>
        <w:t>23</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van der Graaf A, Nierman MC, Firth JC, Wolmarans KH, Marais AD, de Groot E.  Efficacy and safety of fluvastatin in children and adolescents with heterozygous familial hypercholesterolemia.  Acta Paediatr.  2006;95(11):1461-1466.</w:t>
      </w:r>
    </w:p>
    <w:p w14:paraId="5F8B7431" w14:textId="5F36209A" w:rsidR="00375B2B" w:rsidRPr="001D2ADB" w:rsidRDefault="00375B2B" w:rsidP="001D2ADB">
      <w:pPr>
        <w:spacing w:after="0"/>
        <w:ind w:left="576" w:hanging="576"/>
        <w:outlineLvl w:val="0"/>
        <w:rPr>
          <w:rFonts w:ascii="Arial" w:hAnsi="Arial" w:cs="Arial"/>
        </w:rPr>
      </w:pPr>
      <w:r w:rsidRPr="001D2ADB">
        <w:rPr>
          <w:rFonts w:ascii="Arial" w:hAnsi="Arial" w:cs="Arial"/>
        </w:rPr>
        <w:t>2</w:t>
      </w:r>
      <w:r w:rsidR="00414F3C" w:rsidRPr="001D2ADB">
        <w:rPr>
          <w:rFonts w:ascii="Arial" w:hAnsi="Arial" w:cs="Arial"/>
        </w:rPr>
        <w:t>4</w:t>
      </w:r>
      <w:r w:rsidRPr="001D2ADB">
        <w:rPr>
          <w:rFonts w:ascii="Arial" w:hAnsi="Arial" w:cs="Arial"/>
        </w:rPr>
        <w:t xml:space="preserve">.  </w:t>
      </w:r>
      <w:r w:rsidR="008466EB" w:rsidRPr="001D2ADB">
        <w:rPr>
          <w:rFonts w:ascii="Arial" w:hAnsi="Arial" w:cs="Arial"/>
        </w:rPr>
        <w:t xml:space="preserve">  </w:t>
      </w:r>
      <w:r w:rsidRPr="001D2ADB">
        <w:rPr>
          <w:rFonts w:ascii="Arial" w:hAnsi="Arial" w:cs="Arial"/>
        </w:rPr>
        <w:t>Clauss SB, Holmes KW, Hopkins P, Stein E, Cho M, Tate A, Johnson-Levonas AO, Kwiterovich PO. Efficacy and safety of lovastatin therapy in adolescent girls with heterozygous familial hypercholesterolemia. Pediatrics. 2005;116(3):682-8.</w:t>
      </w:r>
    </w:p>
    <w:p w14:paraId="03F56082" w14:textId="1E2AA41A" w:rsidR="00375B2B" w:rsidRPr="001D2ADB" w:rsidRDefault="00375B2B" w:rsidP="001D2ADB">
      <w:pPr>
        <w:spacing w:after="0"/>
        <w:ind w:left="576" w:hanging="576"/>
        <w:outlineLvl w:val="0"/>
        <w:rPr>
          <w:rFonts w:ascii="Arial" w:hAnsi="Arial" w:cs="Arial"/>
        </w:rPr>
      </w:pPr>
      <w:r w:rsidRPr="001D2ADB">
        <w:rPr>
          <w:rFonts w:ascii="Arial" w:hAnsi="Arial" w:cs="Arial"/>
        </w:rPr>
        <w:t>2</w:t>
      </w:r>
      <w:r w:rsidR="00414F3C" w:rsidRPr="001D2ADB">
        <w:rPr>
          <w:rFonts w:ascii="Arial" w:hAnsi="Arial" w:cs="Arial"/>
        </w:rPr>
        <w:t>5</w:t>
      </w:r>
      <w:r w:rsidRPr="001D2ADB">
        <w:rPr>
          <w:rFonts w:ascii="Arial" w:hAnsi="Arial" w:cs="Arial"/>
        </w:rPr>
        <w:t xml:space="preserve">.  </w:t>
      </w:r>
      <w:r w:rsidR="008466EB" w:rsidRPr="001D2ADB">
        <w:rPr>
          <w:rFonts w:ascii="Arial" w:hAnsi="Arial" w:cs="Arial"/>
        </w:rPr>
        <w:t xml:space="preserve">  </w:t>
      </w:r>
      <w:r w:rsidRPr="001D2ADB">
        <w:rPr>
          <w:rFonts w:ascii="Arial" w:hAnsi="Arial" w:cs="Arial"/>
        </w:rPr>
        <w:t>Lambert M, Lupien PJ, Gagné C, et al.  Treatment of familial hypercholesterolemia in children and adolescents: effect of lovastatin.  Pediatrics.  1996;97(5):619-628.</w:t>
      </w:r>
    </w:p>
    <w:p w14:paraId="7784137F" w14:textId="4EECCE28" w:rsidR="00375B2B" w:rsidRPr="001D2ADB" w:rsidRDefault="00375B2B" w:rsidP="001D2ADB">
      <w:pPr>
        <w:spacing w:after="0"/>
        <w:ind w:left="576" w:hanging="576"/>
        <w:outlineLvl w:val="0"/>
        <w:rPr>
          <w:rFonts w:ascii="Arial" w:hAnsi="Arial" w:cs="Arial"/>
        </w:rPr>
      </w:pPr>
      <w:r w:rsidRPr="001D2ADB">
        <w:rPr>
          <w:rFonts w:ascii="Arial" w:hAnsi="Arial" w:cs="Arial"/>
        </w:rPr>
        <w:t>2</w:t>
      </w:r>
      <w:r w:rsidR="00414F3C" w:rsidRPr="001D2ADB">
        <w:rPr>
          <w:rFonts w:ascii="Arial" w:hAnsi="Arial" w:cs="Arial"/>
        </w:rPr>
        <w:t>6</w:t>
      </w:r>
      <w:r w:rsidRPr="001D2ADB">
        <w:rPr>
          <w:rFonts w:ascii="Arial" w:hAnsi="Arial" w:cs="Arial"/>
        </w:rPr>
        <w:t xml:space="preserve">.  </w:t>
      </w:r>
      <w:r w:rsidR="008466EB" w:rsidRPr="001D2ADB">
        <w:rPr>
          <w:rFonts w:ascii="Arial" w:hAnsi="Arial" w:cs="Arial"/>
        </w:rPr>
        <w:t xml:space="preserve">  </w:t>
      </w:r>
      <w:r w:rsidRPr="001D2ADB">
        <w:rPr>
          <w:rFonts w:ascii="Arial" w:hAnsi="Arial" w:cs="Arial"/>
        </w:rPr>
        <w:t>Stein EA, Illingworth DR, Kwiterovich Jr PO, et al.  Efficacy and safety of lovastatin in adolescent males with heterozygous familial hypercholesterolemia.  JAMA.  1999;281(2):137-144.</w:t>
      </w:r>
    </w:p>
    <w:p w14:paraId="20ECD8CA" w14:textId="4A41DB1B" w:rsidR="00375B2B" w:rsidRPr="001D2ADB" w:rsidRDefault="00375B2B" w:rsidP="001D2ADB">
      <w:pPr>
        <w:spacing w:after="0"/>
        <w:ind w:left="576" w:hanging="576"/>
        <w:outlineLvl w:val="0"/>
        <w:rPr>
          <w:rFonts w:ascii="Arial" w:hAnsi="Arial" w:cs="Arial"/>
        </w:rPr>
      </w:pPr>
      <w:r w:rsidRPr="001D2ADB">
        <w:rPr>
          <w:rFonts w:ascii="Arial" w:hAnsi="Arial" w:cs="Arial"/>
        </w:rPr>
        <w:t>2</w:t>
      </w:r>
      <w:r w:rsidR="00414F3C" w:rsidRPr="001D2ADB">
        <w:rPr>
          <w:rFonts w:ascii="Arial" w:hAnsi="Arial" w:cs="Arial"/>
        </w:rPr>
        <w:t>7</w:t>
      </w:r>
      <w:r w:rsidRPr="001D2ADB">
        <w:rPr>
          <w:rFonts w:ascii="Arial" w:hAnsi="Arial" w:cs="Arial"/>
        </w:rPr>
        <w:t xml:space="preserve">.  </w:t>
      </w:r>
      <w:r w:rsidR="008466EB" w:rsidRPr="001D2ADB">
        <w:rPr>
          <w:rFonts w:ascii="Arial" w:hAnsi="Arial" w:cs="Arial"/>
        </w:rPr>
        <w:t xml:space="preserve">  </w:t>
      </w:r>
      <w:r w:rsidRPr="001D2ADB">
        <w:rPr>
          <w:rFonts w:ascii="Arial" w:hAnsi="Arial" w:cs="Arial"/>
        </w:rPr>
        <w:t xml:space="preserve">Knipscheer HC, </w:t>
      </w:r>
      <w:proofErr w:type="spellStart"/>
      <w:r w:rsidRPr="001D2ADB">
        <w:rPr>
          <w:rFonts w:ascii="Arial" w:hAnsi="Arial" w:cs="Arial"/>
        </w:rPr>
        <w:t>Boelen</w:t>
      </w:r>
      <w:proofErr w:type="spellEnd"/>
      <w:r w:rsidRPr="001D2ADB">
        <w:rPr>
          <w:rFonts w:ascii="Arial" w:hAnsi="Arial" w:cs="Arial"/>
        </w:rPr>
        <w:t xml:space="preserve"> CCA, </w:t>
      </w:r>
      <w:proofErr w:type="spellStart"/>
      <w:r w:rsidRPr="001D2ADB">
        <w:rPr>
          <w:rFonts w:ascii="Arial" w:hAnsi="Arial" w:cs="Arial"/>
        </w:rPr>
        <w:t>Kastelein</w:t>
      </w:r>
      <w:proofErr w:type="spellEnd"/>
      <w:r w:rsidRPr="001D2ADB">
        <w:rPr>
          <w:rFonts w:ascii="Arial" w:hAnsi="Arial" w:cs="Arial"/>
        </w:rPr>
        <w:t xml:space="preserve"> JJP, et al.  Short-term efficacy and safety of pravastatin in 72 children with familial hypercholesterolemia.  Pediatr Res.  1996;39(5):867-871.</w:t>
      </w:r>
    </w:p>
    <w:p w14:paraId="41C22BF6" w14:textId="77777777" w:rsidR="00414F3C" w:rsidRPr="001D2ADB" w:rsidRDefault="00414F3C" w:rsidP="001D2ADB">
      <w:pPr>
        <w:spacing w:after="0"/>
        <w:ind w:left="576" w:hanging="576"/>
        <w:outlineLvl w:val="0"/>
        <w:rPr>
          <w:rFonts w:ascii="Arial" w:hAnsi="Arial" w:cs="Arial"/>
        </w:rPr>
      </w:pPr>
      <w:r w:rsidRPr="001D2ADB">
        <w:rPr>
          <w:rFonts w:ascii="Arial" w:hAnsi="Arial" w:cs="Arial"/>
        </w:rPr>
        <w:lastRenderedPageBreak/>
        <w:t>28.    Wiegman A, Hutten BA, de Groot E, et al.  Efficacy and safety of statin therapy in children with familial hypercholesterolemia: a randomized controlled trial. JAMA.  2004;292(3):331-337.</w:t>
      </w:r>
    </w:p>
    <w:p w14:paraId="3945755B" w14:textId="0D4E2423" w:rsidR="000F3695" w:rsidRPr="001D2ADB" w:rsidRDefault="00414F3C" w:rsidP="001D2ADB">
      <w:pPr>
        <w:spacing w:after="0"/>
        <w:ind w:left="576" w:hanging="576"/>
        <w:outlineLvl w:val="0"/>
        <w:rPr>
          <w:rFonts w:ascii="Arial" w:hAnsi="Arial" w:cs="Arial"/>
        </w:rPr>
      </w:pPr>
      <w:r w:rsidRPr="001D2ADB">
        <w:rPr>
          <w:rFonts w:ascii="Arial" w:hAnsi="Arial" w:cs="Arial"/>
        </w:rPr>
        <w:t>29</w:t>
      </w:r>
      <w:r w:rsidR="000F3695" w:rsidRPr="001D2ADB">
        <w:rPr>
          <w:rFonts w:ascii="Arial" w:hAnsi="Arial" w:cs="Arial"/>
        </w:rPr>
        <w:t xml:space="preserve">.  </w:t>
      </w:r>
      <w:r w:rsidR="008466EB" w:rsidRPr="001D2ADB">
        <w:rPr>
          <w:rFonts w:ascii="Arial" w:hAnsi="Arial" w:cs="Arial"/>
        </w:rPr>
        <w:t xml:space="preserve">  </w:t>
      </w:r>
      <w:r w:rsidR="000F3695" w:rsidRPr="001D2ADB">
        <w:rPr>
          <w:rFonts w:ascii="Arial" w:hAnsi="Arial" w:cs="Arial"/>
        </w:rPr>
        <w:t xml:space="preserve">Rodenburg J, Vissers MN, Wiegman A, et al.  Statin treatment in children with familial hypercholesterolemia: The younger, the better.  Circulation. </w:t>
      </w:r>
      <w:proofErr w:type="gramStart"/>
      <w:r w:rsidR="000F3695" w:rsidRPr="001D2ADB">
        <w:rPr>
          <w:rFonts w:ascii="Arial" w:hAnsi="Arial" w:cs="Arial"/>
        </w:rPr>
        <w:t>2007;116:664</w:t>
      </w:r>
      <w:proofErr w:type="gramEnd"/>
      <w:r w:rsidR="000F3695" w:rsidRPr="001D2ADB">
        <w:rPr>
          <w:rFonts w:ascii="Arial" w:hAnsi="Arial" w:cs="Arial"/>
        </w:rPr>
        <w:t>-668.</w:t>
      </w:r>
    </w:p>
    <w:p w14:paraId="6A51670C" w14:textId="50859212" w:rsidR="00375B2B" w:rsidRPr="001D2ADB" w:rsidRDefault="00414F3C" w:rsidP="001D2ADB">
      <w:pPr>
        <w:spacing w:after="0"/>
        <w:ind w:left="576" w:hanging="576"/>
        <w:outlineLvl w:val="0"/>
        <w:rPr>
          <w:rFonts w:ascii="Arial" w:hAnsi="Arial" w:cs="Arial"/>
        </w:rPr>
      </w:pPr>
      <w:r w:rsidRPr="001D2ADB">
        <w:rPr>
          <w:rFonts w:ascii="Arial" w:hAnsi="Arial" w:cs="Arial"/>
        </w:rPr>
        <w:t>30</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Avis HJ, Hutten BA, Gagné C, et al.  Efficacy and safety of rosuvastatin therapy for children with familial hypercholesterolemia.  J Am Coll Cardiol.  2010;55(11):1121-1126.</w:t>
      </w:r>
    </w:p>
    <w:p w14:paraId="4FEB1C10" w14:textId="46A2ED10" w:rsidR="00375B2B" w:rsidRPr="001D2ADB" w:rsidRDefault="00414F3C" w:rsidP="001D2ADB">
      <w:pPr>
        <w:spacing w:after="0"/>
        <w:ind w:left="576" w:hanging="576"/>
        <w:outlineLvl w:val="0"/>
        <w:rPr>
          <w:rFonts w:ascii="Arial" w:hAnsi="Arial" w:cs="Arial"/>
        </w:rPr>
      </w:pPr>
      <w:r w:rsidRPr="001D2ADB">
        <w:rPr>
          <w:rFonts w:ascii="Arial" w:hAnsi="Arial" w:cs="Arial"/>
        </w:rPr>
        <w:t>31</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de Jongh S, Ose L, Szamosi T, et al.  Efficacy and safety of statin therapy in children with familial hypercholesterolemia: a randomized, double-blind, placebo-controlled trial with simvastatin. Circulation. 2002;106(17):2231-2237.</w:t>
      </w:r>
    </w:p>
    <w:p w14:paraId="09A07073" w14:textId="5E67AE9C" w:rsidR="00375B2B" w:rsidRPr="001D2ADB" w:rsidRDefault="00414F3C" w:rsidP="001D2ADB">
      <w:pPr>
        <w:spacing w:after="0"/>
        <w:ind w:left="576" w:hanging="576"/>
        <w:outlineLvl w:val="0"/>
        <w:rPr>
          <w:rFonts w:ascii="Arial" w:hAnsi="Arial" w:cs="Arial"/>
        </w:rPr>
      </w:pPr>
      <w:r w:rsidRPr="001D2ADB">
        <w:rPr>
          <w:rFonts w:ascii="Arial" w:hAnsi="Arial" w:cs="Arial"/>
        </w:rPr>
        <w:t>32</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de Jongh S, Lilien MR, op’t Roodt J, Stroes ES, Bakker HD, Kastelein JJ. Early statin therapy restores endothelial function in children with familial hypercholesterolemia. J Am Coll Cardiol 2002;40(12):2117-2121.</w:t>
      </w:r>
    </w:p>
    <w:p w14:paraId="6B06AF10" w14:textId="3F10C362" w:rsidR="00A542B1" w:rsidRPr="001D2ADB" w:rsidRDefault="00414F3C" w:rsidP="001D2ADB">
      <w:pPr>
        <w:spacing w:after="0"/>
        <w:ind w:left="576" w:hanging="576"/>
        <w:outlineLvl w:val="0"/>
        <w:rPr>
          <w:rFonts w:ascii="Arial" w:hAnsi="Arial" w:cs="Arial"/>
        </w:rPr>
      </w:pPr>
      <w:r w:rsidRPr="001D2ADB">
        <w:rPr>
          <w:rFonts w:ascii="Arial" w:hAnsi="Arial" w:cs="Arial"/>
        </w:rPr>
        <w:t>33</w:t>
      </w:r>
      <w:r w:rsidR="001A6D9C" w:rsidRPr="001D2ADB">
        <w:rPr>
          <w:rFonts w:ascii="Arial" w:hAnsi="Arial" w:cs="Arial"/>
        </w:rPr>
        <w:t xml:space="preserve">.  </w:t>
      </w:r>
      <w:r w:rsidR="008466EB" w:rsidRPr="001D2ADB">
        <w:rPr>
          <w:rFonts w:ascii="Arial" w:hAnsi="Arial" w:cs="Arial"/>
        </w:rPr>
        <w:t xml:space="preserve">  </w:t>
      </w:r>
      <w:r w:rsidR="001A6D9C" w:rsidRPr="001D2ADB">
        <w:rPr>
          <w:rFonts w:ascii="Arial" w:hAnsi="Arial" w:cs="Arial"/>
        </w:rPr>
        <w:t>Rosenson RS.  Rosuvastatin: a new inhibitor of HMG-CoA reductase for the treatment of dyslipidemia.  Expert Rev Cardiovasc Ther.  2003;1(4):495-505.</w:t>
      </w:r>
    </w:p>
    <w:p w14:paraId="7A76D6FE" w14:textId="3E3E08BF" w:rsidR="001A6D9C" w:rsidRPr="001D2ADB" w:rsidRDefault="00414F3C" w:rsidP="001D2ADB">
      <w:pPr>
        <w:spacing w:after="0"/>
        <w:ind w:left="576" w:hanging="576"/>
        <w:outlineLvl w:val="0"/>
        <w:rPr>
          <w:rFonts w:ascii="Arial" w:hAnsi="Arial" w:cs="Arial"/>
        </w:rPr>
      </w:pPr>
      <w:r w:rsidRPr="001D2ADB">
        <w:rPr>
          <w:rFonts w:ascii="Arial" w:hAnsi="Arial" w:cs="Arial"/>
        </w:rPr>
        <w:t>34</w:t>
      </w:r>
      <w:r w:rsidR="001A6D9C" w:rsidRPr="001D2ADB">
        <w:rPr>
          <w:rFonts w:ascii="Arial" w:hAnsi="Arial" w:cs="Arial"/>
        </w:rPr>
        <w:t xml:space="preserve">.  </w:t>
      </w:r>
      <w:r w:rsidR="008466EB" w:rsidRPr="001D2ADB">
        <w:rPr>
          <w:rFonts w:ascii="Arial" w:hAnsi="Arial" w:cs="Arial"/>
        </w:rPr>
        <w:t xml:space="preserve">  </w:t>
      </w:r>
      <w:r w:rsidR="001A6D9C" w:rsidRPr="001D2ADB">
        <w:rPr>
          <w:rFonts w:ascii="Arial" w:hAnsi="Arial" w:cs="Arial"/>
        </w:rPr>
        <w:t>Jones PH, Davidson MH, Stein EA, et al.  Comparison of the efficacy and safety of rosuvastatin versus atorvastatin, simvastatin, and pravastatin across doses (STELLAR* trial).  Am J Cardiol.  2003;92(2):152-160.</w:t>
      </w:r>
    </w:p>
    <w:p w14:paraId="3C22DAEA" w14:textId="45E0A6E9" w:rsidR="001A6D9C" w:rsidRPr="001D2ADB" w:rsidRDefault="001A6D9C" w:rsidP="001D2ADB">
      <w:pPr>
        <w:spacing w:after="0"/>
        <w:ind w:left="576" w:hanging="576"/>
        <w:outlineLvl w:val="0"/>
        <w:rPr>
          <w:rFonts w:ascii="Arial" w:hAnsi="Arial" w:cs="Arial"/>
        </w:rPr>
      </w:pPr>
      <w:r w:rsidRPr="001D2ADB">
        <w:rPr>
          <w:rFonts w:ascii="Arial" w:hAnsi="Arial" w:cs="Arial"/>
        </w:rPr>
        <w:t>3</w:t>
      </w:r>
      <w:r w:rsidR="00414F3C" w:rsidRPr="001D2ADB">
        <w:rPr>
          <w:rFonts w:ascii="Arial" w:hAnsi="Arial" w:cs="Arial"/>
        </w:rPr>
        <w:t>5</w:t>
      </w:r>
      <w:r w:rsidRPr="001D2ADB">
        <w:rPr>
          <w:rFonts w:ascii="Arial" w:hAnsi="Arial" w:cs="Arial"/>
        </w:rPr>
        <w:t xml:space="preserve">.  </w:t>
      </w:r>
      <w:r w:rsidR="008466EB" w:rsidRPr="001D2ADB">
        <w:rPr>
          <w:rFonts w:ascii="Arial" w:hAnsi="Arial" w:cs="Arial"/>
        </w:rPr>
        <w:t xml:space="preserve">  </w:t>
      </w:r>
      <w:r w:rsidRPr="001D2ADB">
        <w:rPr>
          <w:rFonts w:ascii="Arial" w:hAnsi="Arial" w:cs="Arial"/>
        </w:rPr>
        <w:t>Brown AS, Bakker-Arkema RG, Yellen L, et al.  Treating patients with documented atherosclerosis to National Cholesterol Education Program- recommended low-density-lipoprotein cholesterol goals with atorvastatin, fluvastatin, lovastatin, and simvastatin.  J Am Coll Cariol.   1998;32(3):665-672.</w:t>
      </w:r>
    </w:p>
    <w:p w14:paraId="5573D24A" w14:textId="77777777" w:rsidR="00414F3C" w:rsidRPr="001D2ADB" w:rsidRDefault="00414F3C" w:rsidP="001D2ADB">
      <w:pPr>
        <w:spacing w:after="0"/>
        <w:ind w:left="576" w:hanging="576"/>
        <w:outlineLvl w:val="0"/>
        <w:rPr>
          <w:rFonts w:ascii="Arial" w:hAnsi="Arial" w:cs="Arial"/>
        </w:rPr>
      </w:pPr>
      <w:r w:rsidRPr="001D2ADB">
        <w:rPr>
          <w:rFonts w:ascii="Arial" w:hAnsi="Arial" w:cs="Arial"/>
        </w:rPr>
        <w:t>36</w:t>
      </w:r>
      <w:r w:rsidR="001A6D9C" w:rsidRPr="001D2ADB">
        <w:rPr>
          <w:rFonts w:ascii="Arial" w:hAnsi="Arial" w:cs="Arial"/>
        </w:rPr>
        <w:t xml:space="preserve">.  </w:t>
      </w:r>
      <w:r w:rsidR="008466EB" w:rsidRPr="001D2ADB">
        <w:rPr>
          <w:rFonts w:ascii="Arial" w:hAnsi="Arial" w:cs="Arial"/>
        </w:rPr>
        <w:t xml:space="preserve">  </w:t>
      </w:r>
      <w:r w:rsidR="001A6D9C" w:rsidRPr="001D2ADB">
        <w:rPr>
          <w:rFonts w:ascii="Arial" w:hAnsi="Arial" w:cs="Arial"/>
        </w:rPr>
        <w:t>Kuster DM, Avis HJ, de Groot E, et al.  Ten-year follow-up after initiation of statin therapy in children with familial hypercholesterolemia.  JAMA.  2014;312(10):1055-1057.</w:t>
      </w:r>
    </w:p>
    <w:p w14:paraId="4D50DD66" w14:textId="2D697374" w:rsidR="00414F3C" w:rsidRPr="001D2ADB" w:rsidRDefault="00414F3C" w:rsidP="001D2ADB">
      <w:pPr>
        <w:spacing w:after="0"/>
        <w:ind w:left="576" w:hanging="576"/>
        <w:outlineLvl w:val="0"/>
        <w:rPr>
          <w:rFonts w:ascii="Arial" w:hAnsi="Arial" w:cs="Arial"/>
        </w:rPr>
      </w:pPr>
      <w:r w:rsidRPr="001D2ADB">
        <w:rPr>
          <w:rFonts w:ascii="Arial" w:hAnsi="Arial" w:cs="Arial"/>
        </w:rPr>
        <w:t>37.</w:t>
      </w:r>
      <w:r w:rsidRPr="001D2ADB">
        <w:rPr>
          <w:rFonts w:ascii="Arial" w:hAnsi="Arial" w:cs="Arial"/>
        </w:rPr>
        <w:tab/>
      </w:r>
      <w:r w:rsidRPr="001D2ADB">
        <w:rPr>
          <w:rFonts w:ascii="Arial" w:hAnsi="Arial" w:cs="Arial"/>
          <w:color w:val="212121"/>
          <w:shd w:val="clear" w:color="auto" w:fill="FFFFFF"/>
        </w:rPr>
        <w:t xml:space="preserve">Braamskamp MJ, Stefanutti C, </w:t>
      </w:r>
      <w:proofErr w:type="spellStart"/>
      <w:r w:rsidRPr="001D2ADB">
        <w:rPr>
          <w:rFonts w:ascii="Arial" w:hAnsi="Arial" w:cs="Arial"/>
          <w:color w:val="212121"/>
          <w:shd w:val="clear" w:color="auto" w:fill="FFFFFF"/>
        </w:rPr>
        <w:t>Langslet</w:t>
      </w:r>
      <w:proofErr w:type="spellEnd"/>
      <w:r w:rsidRPr="001D2ADB">
        <w:rPr>
          <w:rFonts w:ascii="Arial" w:hAnsi="Arial" w:cs="Arial"/>
          <w:color w:val="212121"/>
          <w:shd w:val="clear" w:color="auto" w:fill="FFFFFF"/>
        </w:rPr>
        <w:t xml:space="preserve"> G, </w:t>
      </w:r>
      <w:proofErr w:type="spellStart"/>
      <w:r w:rsidRPr="001D2ADB">
        <w:rPr>
          <w:rFonts w:ascii="Arial" w:hAnsi="Arial" w:cs="Arial"/>
          <w:color w:val="212121"/>
          <w:shd w:val="clear" w:color="auto" w:fill="FFFFFF"/>
        </w:rPr>
        <w:t>Drogari</w:t>
      </w:r>
      <w:proofErr w:type="spellEnd"/>
      <w:r w:rsidRPr="001D2ADB">
        <w:rPr>
          <w:rFonts w:ascii="Arial" w:hAnsi="Arial" w:cs="Arial"/>
          <w:color w:val="212121"/>
          <w:shd w:val="clear" w:color="auto" w:fill="FFFFFF"/>
        </w:rPr>
        <w:t xml:space="preserve"> E, Wiegman A, Hounslow N, </w:t>
      </w:r>
      <w:proofErr w:type="spellStart"/>
      <w:r w:rsidRPr="001D2ADB">
        <w:rPr>
          <w:rFonts w:ascii="Arial" w:hAnsi="Arial" w:cs="Arial"/>
          <w:color w:val="212121"/>
          <w:shd w:val="clear" w:color="auto" w:fill="FFFFFF"/>
        </w:rPr>
        <w:t>Kastelein</w:t>
      </w:r>
      <w:proofErr w:type="spellEnd"/>
      <w:r w:rsidRPr="001D2ADB">
        <w:rPr>
          <w:rFonts w:ascii="Arial" w:hAnsi="Arial" w:cs="Arial"/>
          <w:color w:val="212121"/>
          <w:shd w:val="clear" w:color="auto" w:fill="FFFFFF"/>
        </w:rPr>
        <w:t xml:space="preserve"> JJ; PASCAL Study Group. Efficacy and Safety of Pitavastatin in Children and Adolescents at High Future Cardiovascular Risk. J </w:t>
      </w:r>
      <w:proofErr w:type="spellStart"/>
      <w:r w:rsidRPr="001D2ADB">
        <w:rPr>
          <w:rFonts w:ascii="Arial" w:hAnsi="Arial" w:cs="Arial"/>
          <w:color w:val="212121"/>
          <w:shd w:val="clear" w:color="auto" w:fill="FFFFFF"/>
        </w:rPr>
        <w:t>Pediatr</w:t>
      </w:r>
      <w:proofErr w:type="spellEnd"/>
      <w:r w:rsidRPr="001D2ADB">
        <w:rPr>
          <w:rFonts w:ascii="Arial" w:hAnsi="Arial" w:cs="Arial"/>
          <w:color w:val="212121"/>
          <w:shd w:val="clear" w:color="auto" w:fill="FFFFFF"/>
        </w:rPr>
        <w:t>. 2015 Aug;167(2</w:t>
      </w:r>
      <w:proofErr w:type="gramStart"/>
      <w:r w:rsidRPr="001D2ADB">
        <w:rPr>
          <w:rFonts w:ascii="Arial" w:hAnsi="Arial" w:cs="Arial"/>
          <w:color w:val="212121"/>
          <w:shd w:val="clear" w:color="auto" w:fill="FFFFFF"/>
        </w:rPr>
        <w:t>):338-43.e5.doi</w:t>
      </w:r>
      <w:proofErr w:type="gramEnd"/>
      <w:r w:rsidRPr="001D2ADB">
        <w:rPr>
          <w:rFonts w:ascii="Arial" w:hAnsi="Arial" w:cs="Arial"/>
          <w:color w:val="212121"/>
          <w:shd w:val="clear" w:color="auto" w:fill="FFFFFF"/>
        </w:rPr>
        <w:t xml:space="preserve">: 10.1016/j.jpeds.2015.05.006. </w:t>
      </w:r>
      <w:proofErr w:type="spellStart"/>
      <w:r w:rsidRPr="001D2ADB">
        <w:rPr>
          <w:rFonts w:ascii="Arial" w:hAnsi="Arial" w:cs="Arial"/>
          <w:color w:val="212121"/>
          <w:shd w:val="clear" w:color="auto" w:fill="FFFFFF"/>
        </w:rPr>
        <w:t>Epub</w:t>
      </w:r>
      <w:proofErr w:type="spellEnd"/>
      <w:r w:rsidRPr="001D2ADB">
        <w:rPr>
          <w:rFonts w:ascii="Arial" w:hAnsi="Arial" w:cs="Arial"/>
          <w:color w:val="212121"/>
          <w:shd w:val="clear" w:color="auto" w:fill="FFFFFF"/>
        </w:rPr>
        <w:t xml:space="preserve"> 2015 Jun 6. PMID: 26059337.</w:t>
      </w:r>
    </w:p>
    <w:p w14:paraId="304A4663" w14:textId="6C1F68FA" w:rsidR="001A6D9C" w:rsidRPr="001D2ADB" w:rsidRDefault="001A6D9C" w:rsidP="001D2ADB">
      <w:pPr>
        <w:spacing w:after="0"/>
        <w:ind w:left="576" w:hanging="576"/>
        <w:outlineLvl w:val="0"/>
        <w:rPr>
          <w:rFonts w:ascii="Arial" w:hAnsi="Arial" w:cs="Arial"/>
        </w:rPr>
      </w:pPr>
      <w:r w:rsidRPr="001D2ADB">
        <w:rPr>
          <w:rFonts w:ascii="Arial" w:hAnsi="Arial" w:cs="Arial"/>
        </w:rPr>
        <w:t>3</w:t>
      </w:r>
      <w:r w:rsidR="00414F3C" w:rsidRPr="001D2ADB">
        <w:rPr>
          <w:rFonts w:ascii="Arial" w:hAnsi="Arial" w:cs="Arial"/>
        </w:rPr>
        <w:t>8</w:t>
      </w:r>
      <w:r w:rsidRPr="001D2ADB">
        <w:rPr>
          <w:rFonts w:ascii="Arial" w:hAnsi="Arial" w:cs="Arial"/>
        </w:rPr>
        <w:t xml:space="preserve">.  </w:t>
      </w:r>
      <w:r w:rsidR="008466EB" w:rsidRPr="001D2ADB">
        <w:rPr>
          <w:rFonts w:ascii="Arial" w:hAnsi="Arial" w:cs="Arial"/>
        </w:rPr>
        <w:t xml:space="preserve">  </w:t>
      </w:r>
      <w:r w:rsidRPr="001D2ADB">
        <w:rPr>
          <w:rFonts w:ascii="Arial" w:hAnsi="Arial" w:cs="Arial"/>
        </w:rPr>
        <w:t>Simvastatin: pediatric drug information.  Lexicomp Online, Pediatric and Neonatal Lexi-Drugs Online, Hudson, Ohio: Lexi-Comp Inc.; 2015.</w:t>
      </w:r>
    </w:p>
    <w:p w14:paraId="2C7AFF89" w14:textId="14E8D68A" w:rsidR="00375B2B" w:rsidRPr="001D2ADB" w:rsidRDefault="00414F3C" w:rsidP="001D2ADB">
      <w:pPr>
        <w:spacing w:after="0"/>
        <w:ind w:left="576" w:hanging="576"/>
        <w:outlineLvl w:val="0"/>
        <w:rPr>
          <w:rFonts w:ascii="Arial" w:hAnsi="Arial" w:cs="Arial"/>
        </w:rPr>
      </w:pPr>
      <w:r w:rsidRPr="001D2ADB">
        <w:rPr>
          <w:rFonts w:ascii="Arial" w:hAnsi="Arial" w:cs="Arial"/>
        </w:rPr>
        <w:t>39</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Colesevelam product monograph.  Daiichi Sankyo, Inc.  Parsippany, NJ. 2009.</w:t>
      </w:r>
    </w:p>
    <w:p w14:paraId="05A9EDC2" w14:textId="012F0A6F" w:rsidR="00375B2B" w:rsidRPr="001D2ADB" w:rsidRDefault="00414F3C" w:rsidP="001D2ADB">
      <w:pPr>
        <w:spacing w:after="0"/>
        <w:ind w:left="576" w:hanging="576"/>
        <w:outlineLvl w:val="0"/>
        <w:rPr>
          <w:rFonts w:ascii="Arial" w:hAnsi="Arial" w:cs="Arial"/>
        </w:rPr>
      </w:pPr>
      <w:r w:rsidRPr="001D2ADB">
        <w:rPr>
          <w:rFonts w:ascii="Arial" w:hAnsi="Arial" w:cs="Arial"/>
        </w:rPr>
        <w:t>40</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Stein EA, Marais D, Szamosi T, et al.  Colesevelam hydrochloride: efficacy and safety in pediatric subjects with heterozygous familial hypercholesterolemia.  J Pediatr.  2010; 156(2):231-236.e1-3.</w:t>
      </w:r>
    </w:p>
    <w:p w14:paraId="6312EDC9" w14:textId="76748AC8" w:rsidR="00375B2B" w:rsidRPr="001D2ADB" w:rsidRDefault="00414F3C" w:rsidP="001D2ADB">
      <w:pPr>
        <w:spacing w:after="0"/>
        <w:ind w:left="576" w:hanging="576"/>
        <w:outlineLvl w:val="0"/>
        <w:rPr>
          <w:rFonts w:ascii="Arial" w:hAnsi="Arial" w:cs="Arial"/>
        </w:rPr>
      </w:pPr>
      <w:r w:rsidRPr="001D2ADB">
        <w:rPr>
          <w:rFonts w:ascii="Arial" w:hAnsi="Arial" w:cs="Arial"/>
        </w:rPr>
        <w:t>41</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Gold Standard, Inc.  Colestipol. Clinical Pharmacology [database online].  Available at: http://www.clinicalpharmacology.com. Accessed 1/4/2008.</w:t>
      </w:r>
    </w:p>
    <w:p w14:paraId="68392EB4" w14:textId="1970488F" w:rsidR="00375B2B" w:rsidRPr="001D2ADB" w:rsidRDefault="00414F3C" w:rsidP="001D2ADB">
      <w:pPr>
        <w:spacing w:after="0"/>
        <w:ind w:left="576" w:hanging="576"/>
        <w:outlineLvl w:val="0"/>
        <w:rPr>
          <w:rFonts w:ascii="Arial" w:hAnsi="Arial" w:cs="Arial"/>
        </w:rPr>
      </w:pPr>
      <w:r w:rsidRPr="001D2ADB">
        <w:rPr>
          <w:rFonts w:ascii="Arial" w:hAnsi="Arial" w:cs="Arial"/>
        </w:rPr>
        <w:t>42</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 xml:space="preserve">Colestipol. In: </w:t>
      </w:r>
      <w:r w:rsidR="00375B2B" w:rsidRPr="001D2ADB">
        <w:rPr>
          <w:rFonts w:ascii="Arial" w:hAnsi="Arial" w:cs="Arial"/>
          <w:iCs/>
        </w:rPr>
        <w:t xml:space="preserve">DRUGDEX® System </w:t>
      </w:r>
      <w:r w:rsidR="00375B2B" w:rsidRPr="001D2ADB">
        <w:rPr>
          <w:rFonts w:ascii="Arial" w:hAnsi="Arial" w:cs="Arial"/>
        </w:rPr>
        <w:t>[intranet database]. Version 5.1. Greenwood Village, Colo: Thomson Healthcare. 2007.</w:t>
      </w:r>
    </w:p>
    <w:p w14:paraId="74C1A4CD" w14:textId="278F319B" w:rsidR="00375B2B" w:rsidRPr="001D2ADB" w:rsidRDefault="00414F3C" w:rsidP="001D2ADB">
      <w:pPr>
        <w:spacing w:after="0"/>
        <w:ind w:left="576" w:hanging="576"/>
        <w:outlineLvl w:val="0"/>
        <w:rPr>
          <w:rFonts w:ascii="Arial" w:hAnsi="Arial" w:cs="Arial"/>
        </w:rPr>
      </w:pPr>
      <w:r w:rsidRPr="001D2ADB">
        <w:rPr>
          <w:rFonts w:ascii="Arial" w:hAnsi="Arial" w:cs="Arial"/>
        </w:rPr>
        <w:t>43</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McCrindle BW, Helden E, Cullen-Dean G, Conner WT. A randomized crossover trial of combination pharmacologic therapy in children with familial hyperlipidemia. Pediatr Res. 2002:51(6):715-21.</w:t>
      </w:r>
    </w:p>
    <w:p w14:paraId="43DC3E83" w14:textId="77F61BE5" w:rsidR="00375B2B" w:rsidRPr="001D2ADB" w:rsidRDefault="00414F3C" w:rsidP="001D2ADB">
      <w:pPr>
        <w:spacing w:after="0"/>
        <w:ind w:left="576" w:hanging="576"/>
        <w:outlineLvl w:val="0"/>
        <w:rPr>
          <w:rFonts w:ascii="Arial" w:hAnsi="Arial" w:cs="Arial"/>
        </w:rPr>
      </w:pPr>
      <w:r w:rsidRPr="001D2ADB">
        <w:rPr>
          <w:rFonts w:ascii="Arial" w:hAnsi="Arial" w:cs="Arial"/>
        </w:rPr>
        <w:t>44</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Tonstad S, Sivertsen M, Aksnes L, Ose L.  Low dose colestipol in adolescents with familial hypercholesterolaemia.  Arch Dis Child.  1996;74(2):157-160.</w:t>
      </w:r>
    </w:p>
    <w:p w14:paraId="7357131C" w14:textId="5631130E" w:rsidR="00375B2B" w:rsidRPr="001D2ADB" w:rsidRDefault="00414F3C" w:rsidP="001D2ADB">
      <w:pPr>
        <w:spacing w:after="0"/>
        <w:ind w:left="576" w:hanging="576"/>
        <w:outlineLvl w:val="0"/>
        <w:rPr>
          <w:rFonts w:ascii="Arial" w:hAnsi="Arial" w:cs="Arial"/>
        </w:rPr>
      </w:pPr>
      <w:r w:rsidRPr="001D2ADB">
        <w:rPr>
          <w:rFonts w:ascii="Arial" w:hAnsi="Arial" w:cs="Arial"/>
        </w:rPr>
        <w:lastRenderedPageBreak/>
        <w:t>45</w:t>
      </w:r>
      <w:r w:rsidR="00375B2B" w:rsidRPr="001D2ADB">
        <w:rPr>
          <w:rFonts w:ascii="Arial" w:hAnsi="Arial" w:cs="Arial"/>
        </w:rPr>
        <w:t xml:space="preserve">.  </w:t>
      </w:r>
      <w:r w:rsidR="008466EB" w:rsidRPr="001D2ADB">
        <w:rPr>
          <w:rFonts w:ascii="Arial" w:hAnsi="Arial" w:cs="Arial"/>
        </w:rPr>
        <w:t xml:space="preserve">  </w:t>
      </w:r>
      <w:proofErr w:type="spellStart"/>
      <w:r w:rsidR="00375B2B" w:rsidRPr="001D2ADB">
        <w:rPr>
          <w:rFonts w:ascii="Arial" w:hAnsi="Arial" w:cs="Arial"/>
        </w:rPr>
        <w:t>Taketomo</w:t>
      </w:r>
      <w:proofErr w:type="spellEnd"/>
      <w:r w:rsidR="00375B2B" w:rsidRPr="001D2ADB">
        <w:rPr>
          <w:rFonts w:ascii="Arial" w:hAnsi="Arial" w:cs="Arial"/>
        </w:rPr>
        <w:t xml:space="preserve"> CK, Hodding JH, Kraus DM, eds.  Lexi-Comp’s Pediatric Dosing Handbook.  15</w:t>
      </w:r>
      <w:r w:rsidR="00375B2B" w:rsidRPr="001D2ADB">
        <w:rPr>
          <w:rFonts w:ascii="Arial" w:hAnsi="Arial" w:cs="Arial"/>
          <w:vertAlign w:val="superscript"/>
        </w:rPr>
        <w:t>th</w:t>
      </w:r>
      <w:r w:rsidR="00375B2B" w:rsidRPr="001D2ADB">
        <w:rPr>
          <w:rFonts w:ascii="Arial" w:hAnsi="Arial" w:cs="Arial"/>
        </w:rPr>
        <w:t xml:space="preserve"> edition.  Hudson, OH: Lexi-Comp; 2008.</w:t>
      </w:r>
    </w:p>
    <w:p w14:paraId="6E850C1C" w14:textId="55B2795D" w:rsidR="00375B2B" w:rsidRPr="001D2ADB" w:rsidRDefault="00414F3C" w:rsidP="001D2ADB">
      <w:pPr>
        <w:spacing w:after="0"/>
        <w:ind w:left="576" w:hanging="576"/>
        <w:outlineLvl w:val="0"/>
        <w:rPr>
          <w:rFonts w:ascii="Arial" w:hAnsi="Arial" w:cs="Arial"/>
        </w:rPr>
      </w:pPr>
      <w:r w:rsidRPr="001D2ADB">
        <w:rPr>
          <w:rFonts w:ascii="Arial" w:hAnsi="Arial" w:cs="Arial"/>
        </w:rPr>
        <w:t>46</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 xml:space="preserve">Gold Standard, Inc.  Cholestyramine.  Clinical Pharmacology [database online].  Available at: </w:t>
      </w:r>
      <w:hyperlink r:id="rId6" w:history="1">
        <w:r w:rsidR="00375B2B" w:rsidRPr="001D2ADB">
          <w:rPr>
            <w:rFonts w:ascii="Arial" w:hAnsi="Arial" w:cs="Arial"/>
          </w:rPr>
          <w:t>http://www.clinicalpharmacology.com</w:t>
        </w:r>
      </w:hyperlink>
      <w:r w:rsidR="00375B2B" w:rsidRPr="001D2ADB">
        <w:rPr>
          <w:rFonts w:ascii="Arial" w:hAnsi="Arial" w:cs="Arial"/>
        </w:rPr>
        <w:t>.  Accessed 1/4/2008.</w:t>
      </w:r>
    </w:p>
    <w:p w14:paraId="012E8097" w14:textId="5241757F" w:rsidR="00375B2B" w:rsidRPr="001D2ADB" w:rsidRDefault="00414F3C" w:rsidP="001D2ADB">
      <w:pPr>
        <w:spacing w:after="0"/>
        <w:ind w:left="576" w:hanging="576"/>
        <w:outlineLvl w:val="0"/>
        <w:rPr>
          <w:rFonts w:ascii="Arial" w:hAnsi="Arial" w:cs="Arial"/>
        </w:rPr>
      </w:pPr>
      <w:r w:rsidRPr="001D2ADB">
        <w:rPr>
          <w:rFonts w:ascii="Arial" w:hAnsi="Arial" w:cs="Arial"/>
        </w:rPr>
        <w:t>47</w:t>
      </w:r>
      <w:r w:rsidR="00375B2B" w:rsidRPr="001D2ADB">
        <w:rPr>
          <w:rFonts w:ascii="Arial" w:hAnsi="Arial" w:cs="Arial"/>
        </w:rPr>
        <w:t xml:space="preserve">.  </w:t>
      </w:r>
      <w:r w:rsidR="008466EB" w:rsidRPr="001D2ADB">
        <w:rPr>
          <w:rFonts w:ascii="Arial" w:hAnsi="Arial" w:cs="Arial"/>
        </w:rPr>
        <w:t xml:space="preserve">  </w:t>
      </w:r>
      <w:proofErr w:type="spellStart"/>
      <w:r w:rsidR="00375B2B" w:rsidRPr="001D2ADB">
        <w:rPr>
          <w:rFonts w:ascii="Arial" w:hAnsi="Arial" w:cs="Arial"/>
        </w:rPr>
        <w:t>Cholesytramine</w:t>
      </w:r>
      <w:proofErr w:type="spellEnd"/>
      <w:r w:rsidR="00375B2B" w:rsidRPr="001D2ADB">
        <w:rPr>
          <w:rFonts w:ascii="Arial" w:hAnsi="Arial" w:cs="Arial"/>
        </w:rPr>
        <w:t xml:space="preserve">. In: </w:t>
      </w:r>
      <w:r w:rsidR="00375B2B" w:rsidRPr="001D2ADB">
        <w:rPr>
          <w:rFonts w:ascii="Arial" w:hAnsi="Arial" w:cs="Arial"/>
          <w:iCs/>
        </w:rPr>
        <w:t xml:space="preserve">DRUGDEX® System </w:t>
      </w:r>
      <w:r w:rsidR="00375B2B" w:rsidRPr="001D2ADB">
        <w:rPr>
          <w:rFonts w:ascii="Arial" w:hAnsi="Arial" w:cs="Arial"/>
        </w:rPr>
        <w:t>[intranet database]. Version 5.1. Greenwood Village, Colo: Thomson Healthcare. 2007.</w:t>
      </w:r>
    </w:p>
    <w:p w14:paraId="7007E26A" w14:textId="1783F10C" w:rsidR="00375B2B" w:rsidRPr="001D2ADB" w:rsidRDefault="00414F3C" w:rsidP="001D2ADB">
      <w:pPr>
        <w:spacing w:after="0"/>
        <w:ind w:left="576" w:hanging="576"/>
        <w:outlineLvl w:val="0"/>
        <w:rPr>
          <w:rFonts w:ascii="Arial" w:hAnsi="Arial" w:cs="Arial"/>
        </w:rPr>
      </w:pPr>
      <w:r w:rsidRPr="001D2ADB">
        <w:rPr>
          <w:rFonts w:ascii="Arial" w:hAnsi="Arial" w:cs="Arial"/>
        </w:rPr>
        <w:t>48</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McCrindle BW, O’Neill MB, Cullen-Dean G, Helden E.  Acceptability and compliance with two forms of cholestyramine in the treatment of hypercholesterolemia in children: A randomized, crossover trial.  J Pediatr.  1997;130(2):266-273.</w:t>
      </w:r>
    </w:p>
    <w:p w14:paraId="7985FA3C" w14:textId="7FB4453B" w:rsidR="00375B2B" w:rsidRPr="001D2ADB" w:rsidRDefault="00414F3C" w:rsidP="001D2ADB">
      <w:pPr>
        <w:spacing w:after="0"/>
        <w:ind w:left="576" w:hanging="576"/>
        <w:outlineLvl w:val="0"/>
        <w:rPr>
          <w:rFonts w:ascii="Arial" w:hAnsi="Arial" w:cs="Arial"/>
        </w:rPr>
      </w:pPr>
      <w:r w:rsidRPr="001D2ADB">
        <w:rPr>
          <w:rFonts w:ascii="Arial" w:hAnsi="Arial" w:cs="Arial"/>
        </w:rPr>
        <w:t>49</w:t>
      </w:r>
      <w:r w:rsidR="00375B2B" w:rsidRPr="001D2ADB">
        <w:rPr>
          <w:rFonts w:ascii="Arial" w:hAnsi="Arial" w:cs="Arial"/>
        </w:rPr>
        <w:t xml:space="preserve">.  </w:t>
      </w:r>
      <w:r w:rsidR="008466EB" w:rsidRPr="001D2ADB">
        <w:rPr>
          <w:rFonts w:ascii="Arial" w:hAnsi="Arial" w:cs="Arial"/>
        </w:rPr>
        <w:t xml:space="preserve">  </w:t>
      </w:r>
      <w:r w:rsidR="00375B2B" w:rsidRPr="001D2ADB">
        <w:rPr>
          <w:rFonts w:ascii="Arial" w:hAnsi="Arial" w:cs="Arial"/>
        </w:rPr>
        <w:t>Tonstad S, Knudtzon J, Sivertsen M, Refsum H, Ose L.  Efficacy and safety of cholestyramine therapy in peripubertal and prepubertal children with familial hypercholesterolemia.  J Pediatr.  1996;129(1):42-49.</w:t>
      </w:r>
    </w:p>
    <w:p w14:paraId="23DDD399" w14:textId="54B07AB5" w:rsidR="00375B2B" w:rsidRPr="001D2ADB" w:rsidRDefault="00414F3C" w:rsidP="001D2ADB">
      <w:pPr>
        <w:spacing w:after="0"/>
        <w:ind w:left="576" w:hanging="576"/>
        <w:outlineLvl w:val="0"/>
        <w:rPr>
          <w:rFonts w:ascii="Arial" w:hAnsi="Arial" w:cs="Arial"/>
        </w:rPr>
      </w:pPr>
      <w:r w:rsidRPr="001D2ADB">
        <w:rPr>
          <w:rFonts w:ascii="Arial" w:hAnsi="Arial" w:cs="Arial"/>
        </w:rPr>
        <w:t>50</w:t>
      </w:r>
      <w:r w:rsidR="00375B2B" w:rsidRPr="001D2ADB">
        <w:rPr>
          <w:rFonts w:ascii="Arial" w:hAnsi="Arial" w:cs="Arial"/>
        </w:rPr>
        <w:t xml:space="preserve">.  </w:t>
      </w:r>
      <w:r w:rsidR="00DB25CB" w:rsidRPr="001D2ADB">
        <w:rPr>
          <w:rFonts w:ascii="Arial" w:hAnsi="Arial" w:cs="Arial"/>
        </w:rPr>
        <w:t xml:space="preserve">  </w:t>
      </w:r>
      <w:r w:rsidR="00375B2B" w:rsidRPr="001D2ADB">
        <w:rPr>
          <w:rFonts w:ascii="Arial" w:hAnsi="Arial" w:cs="Arial"/>
        </w:rPr>
        <w:t>Fenofibrate. In: DRUGDEX</w:t>
      </w:r>
      <w:r w:rsidR="00375B2B" w:rsidRPr="001D2ADB">
        <w:rPr>
          <w:rFonts w:ascii="Arial" w:hAnsi="Arial" w:cs="Arial"/>
          <w:iCs/>
        </w:rPr>
        <w:t xml:space="preserve">® System </w:t>
      </w:r>
      <w:r w:rsidR="00375B2B" w:rsidRPr="001D2ADB">
        <w:rPr>
          <w:rFonts w:ascii="Arial" w:hAnsi="Arial" w:cs="Arial"/>
        </w:rPr>
        <w:t>[intranet database]. Version 5.1. Greenwood Village, Colo: Thomson Healthcare. 2007.</w:t>
      </w:r>
    </w:p>
    <w:p w14:paraId="100B5B8B" w14:textId="43B54AF3" w:rsidR="00375B2B" w:rsidRPr="001D2ADB" w:rsidRDefault="00414F3C" w:rsidP="001D2ADB">
      <w:pPr>
        <w:spacing w:after="0"/>
        <w:ind w:left="576" w:hanging="576"/>
        <w:outlineLvl w:val="0"/>
        <w:rPr>
          <w:rFonts w:ascii="Arial" w:hAnsi="Arial" w:cs="Arial"/>
        </w:rPr>
      </w:pPr>
      <w:r w:rsidRPr="001D2ADB">
        <w:rPr>
          <w:rFonts w:ascii="Arial" w:hAnsi="Arial" w:cs="Arial"/>
        </w:rPr>
        <w:t>51</w:t>
      </w:r>
      <w:r w:rsidR="00375B2B" w:rsidRPr="001D2ADB">
        <w:rPr>
          <w:rFonts w:ascii="Arial" w:hAnsi="Arial" w:cs="Arial"/>
        </w:rPr>
        <w:t xml:space="preserve">.  </w:t>
      </w:r>
      <w:r w:rsidR="00DB25CB" w:rsidRPr="001D2ADB">
        <w:rPr>
          <w:rFonts w:ascii="Arial" w:hAnsi="Arial" w:cs="Arial"/>
        </w:rPr>
        <w:t xml:space="preserve">  </w:t>
      </w:r>
      <w:r w:rsidR="00375B2B" w:rsidRPr="001D2ADB">
        <w:rPr>
          <w:rFonts w:ascii="Arial" w:hAnsi="Arial" w:cs="Arial"/>
        </w:rPr>
        <w:t xml:space="preserve">Gemfibrozil.  In: </w:t>
      </w:r>
      <w:r w:rsidR="00375B2B" w:rsidRPr="001D2ADB">
        <w:rPr>
          <w:rFonts w:ascii="Arial" w:hAnsi="Arial" w:cs="Arial"/>
          <w:iCs/>
        </w:rPr>
        <w:t xml:space="preserve">DRUGDEX® System </w:t>
      </w:r>
      <w:r w:rsidR="00375B2B" w:rsidRPr="001D2ADB">
        <w:rPr>
          <w:rFonts w:ascii="Arial" w:hAnsi="Arial" w:cs="Arial"/>
        </w:rPr>
        <w:t>[intranet database]. Version 5.1. Greenwood Village, Colo: Thomson Healthcare. 2007.</w:t>
      </w:r>
    </w:p>
    <w:p w14:paraId="1EC39780" w14:textId="1ED0F36D" w:rsidR="00375B2B" w:rsidRPr="001D2ADB" w:rsidRDefault="00414F3C" w:rsidP="001D2ADB">
      <w:pPr>
        <w:spacing w:after="0"/>
        <w:ind w:left="576" w:hanging="576"/>
        <w:outlineLvl w:val="0"/>
        <w:rPr>
          <w:rFonts w:ascii="Arial" w:hAnsi="Arial" w:cs="Arial"/>
        </w:rPr>
      </w:pPr>
      <w:r w:rsidRPr="001D2ADB">
        <w:rPr>
          <w:rFonts w:ascii="Arial" w:hAnsi="Arial" w:cs="Arial"/>
        </w:rPr>
        <w:t>52</w:t>
      </w:r>
      <w:r w:rsidR="00375B2B" w:rsidRPr="001D2ADB">
        <w:rPr>
          <w:rFonts w:ascii="Arial" w:hAnsi="Arial" w:cs="Arial"/>
        </w:rPr>
        <w:t xml:space="preserve">.  </w:t>
      </w:r>
      <w:r w:rsidR="00DB25CB" w:rsidRPr="001D2ADB">
        <w:rPr>
          <w:rFonts w:ascii="Arial" w:hAnsi="Arial" w:cs="Arial"/>
        </w:rPr>
        <w:t xml:space="preserve">  </w:t>
      </w:r>
      <w:r w:rsidR="00375B2B" w:rsidRPr="001D2ADB">
        <w:rPr>
          <w:rFonts w:ascii="Arial" w:hAnsi="Arial" w:cs="Arial"/>
        </w:rPr>
        <w:t>Wheeler KA, West RJ, Lloyd JK, Barley J. Double blind trial of bezafibrate in familial hypercholesterolaemia. Arch Dis Child. 1985;60(1):34-37.</w:t>
      </w:r>
    </w:p>
    <w:p w14:paraId="06EED480" w14:textId="77777777" w:rsidR="00414F3C" w:rsidRPr="001D2ADB" w:rsidRDefault="00414F3C" w:rsidP="001D2ADB">
      <w:pPr>
        <w:spacing w:after="0"/>
        <w:ind w:left="576" w:hanging="576"/>
        <w:outlineLvl w:val="0"/>
        <w:rPr>
          <w:rFonts w:ascii="Arial" w:hAnsi="Arial" w:cs="Arial"/>
        </w:rPr>
      </w:pPr>
    </w:p>
    <w:p w14:paraId="12EA82EC" w14:textId="77777777" w:rsidR="00414F3C" w:rsidRPr="001D2ADB" w:rsidRDefault="00414F3C" w:rsidP="001D2ADB">
      <w:pPr>
        <w:spacing w:after="0"/>
        <w:ind w:left="576" w:hanging="576"/>
        <w:rPr>
          <w:rFonts w:ascii="Arial" w:hAnsi="Arial" w:cs="Arial"/>
          <w:shd w:val="clear" w:color="auto" w:fill="FFFFFF"/>
        </w:rPr>
      </w:pPr>
      <w:r w:rsidRPr="001D2ADB">
        <w:rPr>
          <w:rFonts w:ascii="Arial" w:hAnsi="Arial" w:cs="Arial"/>
        </w:rPr>
        <w:t>53.</w:t>
      </w:r>
      <w:r w:rsidRPr="001D2ADB">
        <w:rPr>
          <w:rFonts w:ascii="Arial" w:hAnsi="Arial" w:cs="Arial"/>
        </w:rPr>
        <w:tab/>
      </w:r>
      <w:r w:rsidRPr="001D2ADB">
        <w:rPr>
          <w:rFonts w:ascii="Arial" w:hAnsi="Arial" w:cs="Arial"/>
          <w:shd w:val="clear" w:color="auto" w:fill="FFFFFF"/>
        </w:rPr>
        <w:t xml:space="preserve">Fiorentino R, Chiarelli F. Treatment of </w:t>
      </w:r>
      <w:proofErr w:type="spellStart"/>
      <w:r w:rsidRPr="001D2ADB">
        <w:rPr>
          <w:rFonts w:ascii="Arial" w:hAnsi="Arial" w:cs="Arial"/>
          <w:shd w:val="clear" w:color="auto" w:fill="FFFFFF"/>
        </w:rPr>
        <w:t>Dyslipidaemia</w:t>
      </w:r>
      <w:proofErr w:type="spellEnd"/>
      <w:r w:rsidRPr="001D2ADB">
        <w:rPr>
          <w:rFonts w:ascii="Arial" w:hAnsi="Arial" w:cs="Arial"/>
          <w:shd w:val="clear" w:color="auto" w:fill="FFFFFF"/>
        </w:rPr>
        <w:t xml:space="preserve"> in Children. Biomedicines. 2021 Aug 24;9(9):1078. </w:t>
      </w:r>
      <w:proofErr w:type="spellStart"/>
      <w:r w:rsidRPr="001D2ADB">
        <w:rPr>
          <w:rFonts w:ascii="Arial" w:hAnsi="Arial" w:cs="Arial"/>
          <w:shd w:val="clear" w:color="auto" w:fill="FFFFFF"/>
        </w:rPr>
        <w:t>doi</w:t>
      </w:r>
      <w:proofErr w:type="spellEnd"/>
      <w:r w:rsidRPr="001D2ADB">
        <w:rPr>
          <w:rFonts w:ascii="Arial" w:hAnsi="Arial" w:cs="Arial"/>
          <w:shd w:val="clear" w:color="auto" w:fill="FFFFFF"/>
        </w:rPr>
        <w:t>: 10.3390/biomedicines9091078. PMID: 34572264; PMCID: PMC8470054.</w:t>
      </w:r>
    </w:p>
    <w:p w14:paraId="5097BF39" w14:textId="7DFB6885" w:rsidR="00375B2B" w:rsidRPr="001D2ADB" w:rsidRDefault="00414F3C" w:rsidP="001D2ADB">
      <w:pPr>
        <w:spacing w:after="0"/>
        <w:ind w:left="576" w:hanging="576"/>
        <w:outlineLvl w:val="0"/>
        <w:rPr>
          <w:rFonts w:ascii="Arial" w:hAnsi="Arial" w:cs="Arial"/>
        </w:rPr>
      </w:pPr>
      <w:r w:rsidRPr="001D2ADB">
        <w:rPr>
          <w:rFonts w:ascii="Arial" w:hAnsi="Arial" w:cs="Arial"/>
        </w:rPr>
        <w:t>54</w:t>
      </w:r>
      <w:r w:rsidR="00375B2B" w:rsidRPr="001D2ADB">
        <w:rPr>
          <w:rFonts w:ascii="Arial" w:hAnsi="Arial" w:cs="Arial"/>
        </w:rPr>
        <w:t xml:space="preserve">.  </w:t>
      </w:r>
      <w:r w:rsidR="00DB25CB" w:rsidRPr="001D2ADB">
        <w:rPr>
          <w:rFonts w:ascii="Arial" w:hAnsi="Arial" w:cs="Arial"/>
        </w:rPr>
        <w:t xml:space="preserve">  </w:t>
      </w:r>
      <w:r w:rsidR="00375B2B" w:rsidRPr="001D2ADB">
        <w:rPr>
          <w:rFonts w:ascii="Arial" w:hAnsi="Arial" w:cs="Arial"/>
        </w:rPr>
        <w:t>Colletti RB, Roff NK, Neufeld EJ, Baker AL, Newburger JW, McAuliffe TL.  Niacin treatment of hypercholesterolemia in children.  Pediatrics.  1993;92(1):78-82.</w:t>
      </w:r>
    </w:p>
    <w:p w14:paraId="745083D3" w14:textId="0FEF259A" w:rsidR="00414F3C" w:rsidRPr="001D2ADB" w:rsidRDefault="00414F3C" w:rsidP="001D2ADB">
      <w:pPr>
        <w:spacing w:after="0"/>
        <w:ind w:left="576" w:hanging="576"/>
        <w:outlineLvl w:val="0"/>
        <w:rPr>
          <w:rFonts w:ascii="Arial" w:hAnsi="Arial" w:cs="Arial"/>
        </w:rPr>
      </w:pPr>
      <w:r w:rsidRPr="001D2ADB">
        <w:rPr>
          <w:rFonts w:ascii="Arial" w:hAnsi="Arial" w:cs="Arial"/>
        </w:rPr>
        <w:t>55.</w:t>
      </w:r>
      <w:r w:rsidRPr="001D2ADB">
        <w:rPr>
          <w:rFonts w:ascii="Arial" w:hAnsi="Arial" w:cs="Arial"/>
        </w:rPr>
        <w:tab/>
        <w:t>Ezetimibe product monograph. Merck &amp; CO., Inc. Whitehouse Station, NJ. 2012.</w:t>
      </w:r>
    </w:p>
    <w:p w14:paraId="688FD09C" w14:textId="766A2E7C" w:rsidR="003E7303" w:rsidRPr="001D2ADB" w:rsidRDefault="00D650ED" w:rsidP="001D2ADB">
      <w:pPr>
        <w:spacing w:after="0"/>
        <w:ind w:left="576" w:hanging="576"/>
        <w:outlineLvl w:val="0"/>
        <w:rPr>
          <w:rFonts w:ascii="Arial" w:hAnsi="Arial" w:cs="Arial"/>
        </w:rPr>
      </w:pPr>
      <w:r w:rsidRPr="001D2ADB">
        <w:rPr>
          <w:rFonts w:ascii="Arial" w:hAnsi="Arial" w:cs="Arial"/>
        </w:rPr>
        <w:t>5</w:t>
      </w:r>
      <w:r w:rsidR="00414F3C" w:rsidRPr="001D2ADB">
        <w:rPr>
          <w:rFonts w:ascii="Arial" w:hAnsi="Arial" w:cs="Arial"/>
        </w:rPr>
        <w:t>6</w:t>
      </w:r>
      <w:r w:rsidR="003E7303" w:rsidRPr="001D2ADB">
        <w:rPr>
          <w:rFonts w:ascii="Arial" w:hAnsi="Arial" w:cs="Arial"/>
        </w:rPr>
        <w:t xml:space="preserve">.  </w:t>
      </w:r>
      <w:r w:rsidR="00DB25CB" w:rsidRPr="001D2ADB">
        <w:rPr>
          <w:rFonts w:ascii="Arial" w:hAnsi="Arial" w:cs="Arial"/>
        </w:rPr>
        <w:t xml:space="preserve">  </w:t>
      </w:r>
      <w:r w:rsidR="003E7303" w:rsidRPr="001D2ADB">
        <w:rPr>
          <w:rFonts w:ascii="Arial" w:hAnsi="Arial" w:cs="Arial"/>
        </w:rPr>
        <w:t xml:space="preserve">Yeste D, Chacon P, Clemente M, et al.  Ezetimibe as monotherapy in the treatment of hypercholesterolemia in children and adolescents.  J Pediatr Endocrinol Metab.  </w:t>
      </w:r>
      <w:proofErr w:type="gramStart"/>
      <w:r w:rsidR="003E7303" w:rsidRPr="001D2ADB">
        <w:rPr>
          <w:rFonts w:ascii="Arial" w:hAnsi="Arial" w:cs="Arial"/>
        </w:rPr>
        <w:t>2009;22:487</w:t>
      </w:r>
      <w:proofErr w:type="gramEnd"/>
      <w:r w:rsidR="003E7303" w:rsidRPr="001D2ADB">
        <w:rPr>
          <w:rFonts w:ascii="Arial" w:hAnsi="Arial" w:cs="Arial"/>
        </w:rPr>
        <w:t>-492.</w:t>
      </w:r>
    </w:p>
    <w:p w14:paraId="7042E7E1" w14:textId="74EEA3C5" w:rsidR="003E7303" w:rsidRPr="001D2ADB" w:rsidRDefault="00414F3C" w:rsidP="001D2ADB">
      <w:pPr>
        <w:spacing w:after="0"/>
        <w:ind w:left="576" w:hanging="576"/>
        <w:outlineLvl w:val="0"/>
        <w:rPr>
          <w:rFonts w:ascii="Arial" w:hAnsi="Arial" w:cs="Arial"/>
        </w:rPr>
      </w:pPr>
      <w:r w:rsidRPr="001D2ADB">
        <w:rPr>
          <w:rFonts w:ascii="Arial" w:hAnsi="Arial" w:cs="Arial"/>
        </w:rPr>
        <w:t>57</w:t>
      </w:r>
      <w:r w:rsidR="003E7303" w:rsidRPr="001D2ADB">
        <w:rPr>
          <w:rFonts w:ascii="Arial" w:hAnsi="Arial" w:cs="Arial"/>
        </w:rPr>
        <w:t xml:space="preserve">.  </w:t>
      </w:r>
      <w:r w:rsidR="00DB25CB" w:rsidRPr="001D2ADB">
        <w:rPr>
          <w:rFonts w:ascii="Arial" w:hAnsi="Arial" w:cs="Arial"/>
        </w:rPr>
        <w:t xml:space="preserve">  </w:t>
      </w:r>
      <w:r w:rsidR="003E7303" w:rsidRPr="001D2ADB">
        <w:rPr>
          <w:rFonts w:ascii="Arial" w:hAnsi="Arial" w:cs="Arial"/>
        </w:rPr>
        <w:t xml:space="preserve">Clauss S, Wai KM, Kavey REW, et al.  Ezetimibe treatment of pediatric patients with hypercholesterolemia.  J Pediatr.  </w:t>
      </w:r>
      <w:proofErr w:type="gramStart"/>
      <w:r w:rsidR="003E7303" w:rsidRPr="001D2ADB">
        <w:rPr>
          <w:rFonts w:ascii="Arial" w:hAnsi="Arial" w:cs="Arial"/>
        </w:rPr>
        <w:t>2009;154:869</w:t>
      </w:r>
      <w:proofErr w:type="gramEnd"/>
      <w:r w:rsidR="003E7303" w:rsidRPr="001D2ADB">
        <w:rPr>
          <w:rFonts w:ascii="Arial" w:hAnsi="Arial" w:cs="Arial"/>
        </w:rPr>
        <w:t>-872.</w:t>
      </w:r>
    </w:p>
    <w:p w14:paraId="4C576A05" w14:textId="09800EE7" w:rsidR="00375B2B" w:rsidRPr="001D2ADB" w:rsidRDefault="00414F3C" w:rsidP="001D2ADB">
      <w:pPr>
        <w:spacing w:after="0"/>
        <w:ind w:left="576" w:hanging="576"/>
        <w:outlineLvl w:val="0"/>
        <w:rPr>
          <w:rFonts w:ascii="Arial" w:hAnsi="Arial" w:cs="Arial"/>
        </w:rPr>
      </w:pPr>
      <w:r w:rsidRPr="001D2ADB">
        <w:rPr>
          <w:rFonts w:ascii="Arial" w:hAnsi="Arial" w:cs="Arial"/>
        </w:rPr>
        <w:t>58</w:t>
      </w:r>
      <w:r w:rsidR="00375B2B" w:rsidRPr="001D2ADB">
        <w:rPr>
          <w:rFonts w:ascii="Arial" w:hAnsi="Arial" w:cs="Arial"/>
        </w:rPr>
        <w:t xml:space="preserve">.  </w:t>
      </w:r>
      <w:r w:rsidR="00DB25CB" w:rsidRPr="001D2ADB">
        <w:rPr>
          <w:rFonts w:ascii="Arial" w:hAnsi="Arial" w:cs="Arial"/>
        </w:rPr>
        <w:t xml:space="preserve">  </w:t>
      </w:r>
      <w:r w:rsidR="00375B2B" w:rsidRPr="001D2ADB">
        <w:rPr>
          <w:rFonts w:ascii="Arial" w:hAnsi="Arial" w:cs="Arial"/>
        </w:rPr>
        <w:t>van der Graaf A, Cuffie-Jackson C, Vissers MN, et al.  Efficacy and safety of co-administration of ezetimibe and simvastatin in adolescents with heterozygous familial hypercholesterolemia.  J Am Coll Cardiol.  2008;52(17):1421-1429.</w:t>
      </w:r>
    </w:p>
    <w:p w14:paraId="26303130" w14:textId="1457E931" w:rsidR="00414F3C" w:rsidRPr="001D2ADB" w:rsidRDefault="00414F3C" w:rsidP="001D2ADB">
      <w:pPr>
        <w:spacing w:after="0"/>
        <w:ind w:left="576" w:hanging="576"/>
        <w:rPr>
          <w:rFonts w:ascii="Arial" w:hAnsi="Arial" w:cs="Arial"/>
        </w:rPr>
      </w:pPr>
      <w:r w:rsidRPr="001D2ADB">
        <w:rPr>
          <w:rFonts w:ascii="Arial" w:hAnsi="Arial" w:cs="Arial"/>
        </w:rPr>
        <w:t>59.</w:t>
      </w:r>
      <w:r w:rsidRPr="001D2ADB">
        <w:rPr>
          <w:rFonts w:ascii="Arial" w:hAnsi="Arial" w:cs="Arial"/>
        </w:rPr>
        <w:tab/>
      </w:r>
      <w:r w:rsidRPr="001D2ADB">
        <w:rPr>
          <w:rFonts w:ascii="Arial" w:hAnsi="Arial" w:cs="Arial"/>
          <w:shd w:val="clear" w:color="auto" w:fill="FFFFFF"/>
        </w:rPr>
        <w:t>Hammersley D., Signy M. Ezetimibe: An update on its clinical usefulness in specific patient groups. </w:t>
      </w:r>
      <w:r w:rsidRPr="001D2ADB">
        <w:rPr>
          <w:rStyle w:val="ref-journal"/>
          <w:rFonts w:ascii="Arial" w:hAnsi="Arial" w:cs="Arial"/>
          <w:i/>
          <w:iCs/>
          <w:shd w:val="clear" w:color="auto" w:fill="FFFFFF"/>
        </w:rPr>
        <w:t>Ther. Adv. Chronic Dis. </w:t>
      </w:r>
      <w:proofErr w:type="gramStart"/>
      <w:r w:rsidRPr="001D2ADB">
        <w:rPr>
          <w:rFonts w:ascii="Arial" w:hAnsi="Arial" w:cs="Arial"/>
          <w:shd w:val="clear" w:color="auto" w:fill="FFFFFF"/>
        </w:rPr>
        <w:t>2017;</w:t>
      </w:r>
      <w:r w:rsidRPr="001D2ADB">
        <w:rPr>
          <w:rStyle w:val="ref-vol"/>
          <w:rFonts w:ascii="Arial" w:hAnsi="Arial" w:cs="Arial"/>
          <w:shd w:val="clear" w:color="auto" w:fill="FFFFFF"/>
        </w:rPr>
        <w:t>8</w:t>
      </w:r>
      <w:r w:rsidRPr="001D2ADB">
        <w:rPr>
          <w:rFonts w:ascii="Arial" w:hAnsi="Arial" w:cs="Arial"/>
          <w:shd w:val="clear" w:color="auto" w:fill="FFFFFF"/>
        </w:rPr>
        <w:t>:4</w:t>
      </w:r>
      <w:proofErr w:type="gramEnd"/>
      <w:r w:rsidRPr="001D2ADB">
        <w:rPr>
          <w:rFonts w:ascii="Arial" w:hAnsi="Arial" w:cs="Arial"/>
          <w:shd w:val="clear" w:color="auto" w:fill="FFFFFF"/>
        </w:rPr>
        <w:t xml:space="preserve">–11. </w:t>
      </w:r>
      <w:proofErr w:type="spellStart"/>
      <w:r w:rsidRPr="001D2ADB">
        <w:rPr>
          <w:rFonts w:ascii="Arial" w:hAnsi="Arial" w:cs="Arial"/>
          <w:shd w:val="clear" w:color="auto" w:fill="FFFFFF"/>
        </w:rPr>
        <w:t>doi</w:t>
      </w:r>
      <w:proofErr w:type="spellEnd"/>
      <w:r w:rsidRPr="001D2ADB">
        <w:rPr>
          <w:rFonts w:ascii="Arial" w:hAnsi="Arial" w:cs="Arial"/>
          <w:shd w:val="clear" w:color="auto" w:fill="FFFFFF"/>
        </w:rPr>
        <w:t>: 10.1177/2040622316672544.</w:t>
      </w:r>
    </w:p>
    <w:p w14:paraId="7F2CF9D5" w14:textId="77777777" w:rsidR="002B400E" w:rsidRPr="001D2ADB" w:rsidRDefault="00414F3C" w:rsidP="001D2ADB">
      <w:pPr>
        <w:spacing w:after="0"/>
        <w:ind w:left="576" w:hanging="576"/>
        <w:rPr>
          <w:rFonts w:ascii="Arial" w:hAnsi="Arial" w:cs="Arial"/>
        </w:rPr>
      </w:pPr>
      <w:r w:rsidRPr="001D2ADB">
        <w:rPr>
          <w:rFonts w:ascii="Arial" w:hAnsi="Arial" w:cs="Arial"/>
        </w:rPr>
        <w:t>60</w:t>
      </w:r>
      <w:r w:rsidR="00D650ED" w:rsidRPr="001D2ADB">
        <w:rPr>
          <w:rFonts w:ascii="Arial" w:hAnsi="Arial" w:cs="Arial"/>
        </w:rPr>
        <w:t xml:space="preserve">.  </w:t>
      </w:r>
      <w:r w:rsidR="00DB25CB" w:rsidRPr="001D2ADB">
        <w:rPr>
          <w:rFonts w:ascii="Arial" w:hAnsi="Arial" w:cs="Arial"/>
        </w:rPr>
        <w:t xml:space="preserve">  </w:t>
      </w:r>
      <w:r w:rsidR="00D650ED" w:rsidRPr="001D2ADB">
        <w:rPr>
          <w:rFonts w:ascii="Arial" w:hAnsi="Arial" w:cs="Arial"/>
        </w:rPr>
        <w:t>de Ferranti SD, Milliren CE, Denhoff ER, et al.  Using high-dose omega-3 fatty acid supplements to lower triglyceride levels in 10- to 19-year-olds.  Clin Pediatr (Phila).  2014;53(5):428-438.</w:t>
      </w:r>
    </w:p>
    <w:p w14:paraId="24EB9FC8" w14:textId="77777777" w:rsidR="002B400E" w:rsidRPr="001D2ADB" w:rsidRDefault="002B400E" w:rsidP="001D2ADB">
      <w:pPr>
        <w:spacing w:after="0"/>
        <w:ind w:left="576" w:hanging="576"/>
        <w:rPr>
          <w:rFonts w:ascii="Arial" w:hAnsi="Arial" w:cs="Arial"/>
        </w:rPr>
      </w:pPr>
      <w:r w:rsidRPr="001D2ADB">
        <w:rPr>
          <w:rFonts w:ascii="Arial" w:hAnsi="Arial" w:cs="Arial"/>
        </w:rPr>
        <w:t>61.</w:t>
      </w:r>
      <w:r w:rsidRPr="001D2ADB">
        <w:rPr>
          <w:rFonts w:ascii="Arial" w:hAnsi="Arial" w:cs="Arial"/>
        </w:rPr>
        <w:tab/>
      </w:r>
      <w:r w:rsidR="00D650ED" w:rsidRPr="001D2ADB">
        <w:rPr>
          <w:rFonts w:ascii="Arial" w:hAnsi="Arial" w:cs="Arial"/>
        </w:rPr>
        <w:t xml:space="preserve">Chahal N, </w:t>
      </w:r>
      <w:proofErr w:type="spellStart"/>
      <w:r w:rsidR="00D650ED" w:rsidRPr="001D2ADB">
        <w:rPr>
          <w:rFonts w:ascii="Arial" w:hAnsi="Arial" w:cs="Arial"/>
        </w:rPr>
        <w:t>Manlhoit</w:t>
      </w:r>
      <w:proofErr w:type="spellEnd"/>
      <w:r w:rsidR="00D650ED" w:rsidRPr="001D2ADB">
        <w:rPr>
          <w:rFonts w:ascii="Arial" w:hAnsi="Arial" w:cs="Arial"/>
        </w:rPr>
        <w:t xml:space="preserve"> C, Wong H, McCrindle BW.  Effectiveness of omega-3 polysaturated fatty acids (fish oil) supplementation </w:t>
      </w:r>
      <w:r w:rsidR="00075623" w:rsidRPr="001D2ADB">
        <w:rPr>
          <w:rFonts w:ascii="Arial" w:hAnsi="Arial" w:cs="Arial"/>
        </w:rPr>
        <w:t>for</w:t>
      </w:r>
      <w:r w:rsidR="00D650ED" w:rsidRPr="001D2ADB">
        <w:rPr>
          <w:rFonts w:ascii="Arial" w:hAnsi="Arial" w:cs="Arial"/>
        </w:rPr>
        <w:t xml:space="preserve"> treating hypertriglyceridemia in children and adolescents.  Clin Pediatr (Phila).  2014;53(7):645-657.</w:t>
      </w:r>
    </w:p>
    <w:p w14:paraId="439CF57E" w14:textId="351623D5" w:rsidR="002B400E" w:rsidRPr="001D2ADB" w:rsidRDefault="002B400E" w:rsidP="001D2ADB">
      <w:pPr>
        <w:spacing w:after="0"/>
        <w:ind w:left="576" w:hanging="576"/>
        <w:rPr>
          <w:rFonts w:ascii="Arial" w:hAnsi="Arial" w:cs="Arial"/>
        </w:rPr>
      </w:pPr>
      <w:r w:rsidRPr="001D2ADB">
        <w:rPr>
          <w:rFonts w:ascii="Arial" w:hAnsi="Arial" w:cs="Arial"/>
          <w:shd w:val="clear" w:color="auto" w:fill="FFFFFF"/>
        </w:rPr>
        <w:t>62.</w:t>
      </w:r>
      <w:r w:rsidRPr="001D2ADB">
        <w:rPr>
          <w:rFonts w:ascii="Arial" w:hAnsi="Arial" w:cs="Arial"/>
          <w:shd w:val="clear" w:color="auto" w:fill="FFFFFF"/>
        </w:rPr>
        <w:tab/>
      </w:r>
      <w:r w:rsidR="00AC596C" w:rsidRPr="001D2ADB">
        <w:rPr>
          <w:rFonts w:ascii="Arial" w:hAnsi="Arial" w:cs="Arial"/>
          <w:shd w:val="clear" w:color="auto" w:fill="FFFFFF"/>
        </w:rPr>
        <w:t xml:space="preserve">Khorshidi, M., </w:t>
      </w:r>
      <w:proofErr w:type="spellStart"/>
      <w:r w:rsidR="00AC596C" w:rsidRPr="001D2ADB">
        <w:rPr>
          <w:rFonts w:ascii="Arial" w:hAnsi="Arial" w:cs="Arial"/>
          <w:shd w:val="clear" w:color="auto" w:fill="FFFFFF"/>
        </w:rPr>
        <w:t>Hazaveh</w:t>
      </w:r>
      <w:proofErr w:type="spellEnd"/>
      <w:r w:rsidR="00AC596C" w:rsidRPr="001D2ADB">
        <w:rPr>
          <w:rFonts w:ascii="Arial" w:hAnsi="Arial" w:cs="Arial"/>
          <w:shd w:val="clear" w:color="auto" w:fill="FFFFFF"/>
        </w:rPr>
        <w:t xml:space="preserve">, Z.S., </w:t>
      </w:r>
      <w:proofErr w:type="spellStart"/>
      <w:r w:rsidR="00AC596C" w:rsidRPr="001D2ADB">
        <w:rPr>
          <w:rFonts w:ascii="Arial" w:hAnsi="Arial" w:cs="Arial"/>
          <w:shd w:val="clear" w:color="auto" w:fill="FFFFFF"/>
        </w:rPr>
        <w:t>Alimohammadi-kamalabadi</w:t>
      </w:r>
      <w:proofErr w:type="spellEnd"/>
      <w:r w:rsidR="00AC596C" w:rsidRPr="001D2ADB">
        <w:rPr>
          <w:rFonts w:ascii="Arial" w:hAnsi="Arial" w:cs="Arial"/>
          <w:shd w:val="clear" w:color="auto" w:fill="FFFFFF"/>
        </w:rPr>
        <w:t>, M. </w:t>
      </w:r>
      <w:r w:rsidR="00AC596C" w:rsidRPr="001D2ADB">
        <w:rPr>
          <w:rFonts w:ascii="Arial" w:hAnsi="Arial" w:cs="Arial"/>
          <w:i/>
          <w:iCs/>
          <w:shd w:val="clear" w:color="auto" w:fill="FFFFFF"/>
        </w:rPr>
        <w:t>et al.</w:t>
      </w:r>
      <w:r w:rsidR="00AC596C" w:rsidRPr="001D2ADB">
        <w:rPr>
          <w:rFonts w:ascii="Arial" w:hAnsi="Arial" w:cs="Arial"/>
          <w:shd w:val="clear" w:color="auto" w:fill="FFFFFF"/>
        </w:rPr>
        <w:t xml:space="preserve"> Effect of omega-3 supplementation on lipid profile in children and adolescents: a systematic review and </w:t>
      </w:r>
      <w:r w:rsidR="00AC596C" w:rsidRPr="001D2ADB">
        <w:rPr>
          <w:rFonts w:ascii="Arial" w:hAnsi="Arial" w:cs="Arial"/>
          <w:shd w:val="clear" w:color="auto" w:fill="FFFFFF"/>
        </w:rPr>
        <w:lastRenderedPageBreak/>
        <w:t>meta-analysis of randomized clinical trials. </w:t>
      </w:r>
      <w:proofErr w:type="spellStart"/>
      <w:r w:rsidR="00AC596C" w:rsidRPr="001D2ADB">
        <w:rPr>
          <w:rFonts w:ascii="Arial" w:hAnsi="Arial" w:cs="Arial"/>
          <w:i/>
          <w:iCs/>
          <w:shd w:val="clear" w:color="auto" w:fill="FFFFFF"/>
        </w:rPr>
        <w:t>Nutr</w:t>
      </w:r>
      <w:proofErr w:type="spellEnd"/>
      <w:r w:rsidR="00AC596C" w:rsidRPr="001D2ADB">
        <w:rPr>
          <w:rFonts w:ascii="Arial" w:hAnsi="Arial" w:cs="Arial"/>
          <w:i/>
          <w:iCs/>
          <w:shd w:val="clear" w:color="auto" w:fill="FFFFFF"/>
        </w:rPr>
        <w:t xml:space="preserve"> J</w:t>
      </w:r>
      <w:r w:rsidR="00AC596C" w:rsidRPr="001D2ADB">
        <w:rPr>
          <w:rFonts w:ascii="Arial" w:hAnsi="Arial" w:cs="Arial"/>
          <w:shd w:val="clear" w:color="auto" w:fill="FFFFFF"/>
        </w:rPr>
        <w:t> </w:t>
      </w:r>
      <w:r w:rsidR="00AC596C" w:rsidRPr="001D2ADB">
        <w:rPr>
          <w:rFonts w:ascii="Arial" w:hAnsi="Arial" w:cs="Arial"/>
          <w:bCs/>
          <w:shd w:val="clear" w:color="auto" w:fill="FFFFFF"/>
        </w:rPr>
        <w:t>22</w:t>
      </w:r>
      <w:r w:rsidR="00AC596C" w:rsidRPr="001D2ADB">
        <w:rPr>
          <w:rFonts w:ascii="Arial" w:hAnsi="Arial" w:cs="Arial"/>
          <w:shd w:val="clear" w:color="auto" w:fill="FFFFFF"/>
        </w:rPr>
        <w:t xml:space="preserve">, 9 (2023). </w:t>
      </w:r>
      <w:r w:rsidR="00AC596C" w:rsidRPr="001D2ADB">
        <w:rPr>
          <w:rFonts w:ascii="Arial" w:hAnsi="Arial" w:cs="Arial"/>
        </w:rPr>
        <w:t>https://doi.org/10.1186/s12937-022-00826-5</w:t>
      </w:r>
    </w:p>
    <w:p w14:paraId="1708D0D3" w14:textId="77777777" w:rsidR="002B400E" w:rsidRPr="001D2ADB" w:rsidRDefault="002B400E" w:rsidP="001D2ADB">
      <w:pPr>
        <w:spacing w:after="0"/>
        <w:ind w:left="576" w:hanging="576"/>
        <w:rPr>
          <w:rFonts w:ascii="Arial" w:hAnsi="Arial" w:cs="Arial"/>
        </w:rPr>
      </w:pPr>
      <w:r w:rsidRPr="001D2ADB">
        <w:rPr>
          <w:rFonts w:ascii="Arial" w:hAnsi="Arial" w:cs="Arial"/>
          <w:color w:val="212121"/>
          <w:shd w:val="clear" w:color="auto" w:fill="FFFFFF"/>
        </w:rPr>
        <w:t>63.</w:t>
      </w:r>
      <w:r w:rsidRPr="001D2ADB">
        <w:rPr>
          <w:rFonts w:ascii="Arial" w:hAnsi="Arial" w:cs="Arial"/>
          <w:color w:val="212121"/>
          <w:shd w:val="clear" w:color="auto" w:fill="FFFFFF"/>
        </w:rPr>
        <w:tab/>
      </w:r>
      <w:r w:rsidR="00AC596C" w:rsidRPr="001D2ADB">
        <w:rPr>
          <w:rFonts w:ascii="Arial" w:hAnsi="Arial" w:cs="Arial"/>
          <w:color w:val="212121"/>
          <w:shd w:val="clear" w:color="auto" w:fill="FFFFFF"/>
        </w:rPr>
        <w:t xml:space="preserve">McGowan MP, Hosseini </w:t>
      </w:r>
      <w:proofErr w:type="spellStart"/>
      <w:r w:rsidR="00AC596C" w:rsidRPr="001D2ADB">
        <w:rPr>
          <w:rFonts w:ascii="Arial" w:hAnsi="Arial" w:cs="Arial"/>
          <w:color w:val="212121"/>
          <w:shd w:val="clear" w:color="auto" w:fill="FFFFFF"/>
        </w:rPr>
        <w:t>Dehkordi</w:t>
      </w:r>
      <w:proofErr w:type="spellEnd"/>
      <w:r w:rsidR="00AC596C" w:rsidRPr="001D2ADB">
        <w:rPr>
          <w:rFonts w:ascii="Arial" w:hAnsi="Arial" w:cs="Arial"/>
          <w:color w:val="212121"/>
          <w:shd w:val="clear" w:color="auto" w:fill="FFFFFF"/>
        </w:rPr>
        <w:t xml:space="preserve"> SH, Moriarty PM, Duell PB. Diagnosis and Treatment of Heterozygous Familial Hypercholesterolemia. J Am Heart Assoc. 2019 Dec 17;8(24</w:t>
      </w:r>
      <w:proofErr w:type="gramStart"/>
      <w:r w:rsidR="00AC596C" w:rsidRPr="001D2ADB">
        <w:rPr>
          <w:rFonts w:ascii="Arial" w:hAnsi="Arial" w:cs="Arial"/>
          <w:color w:val="212121"/>
          <w:shd w:val="clear" w:color="auto" w:fill="FFFFFF"/>
        </w:rPr>
        <w:t>):e</w:t>
      </w:r>
      <w:proofErr w:type="gramEnd"/>
      <w:r w:rsidR="00AC596C" w:rsidRPr="001D2ADB">
        <w:rPr>
          <w:rFonts w:ascii="Arial" w:hAnsi="Arial" w:cs="Arial"/>
          <w:color w:val="212121"/>
          <w:shd w:val="clear" w:color="auto" w:fill="FFFFFF"/>
        </w:rPr>
        <w:t xml:space="preserve">013225. </w:t>
      </w:r>
      <w:proofErr w:type="spellStart"/>
      <w:r w:rsidR="00AC596C" w:rsidRPr="001D2ADB">
        <w:rPr>
          <w:rFonts w:ascii="Arial" w:hAnsi="Arial" w:cs="Arial"/>
          <w:color w:val="212121"/>
          <w:shd w:val="clear" w:color="auto" w:fill="FFFFFF"/>
        </w:rPr>
        <w:t>doi</w:t>
      </w:r>
      <w:proofErr w:type="spellEnd"/>
      <w:r w:rsidR="00AC596C" w:rsidRPr="001D2ADB">
        <w:rPr>
          <w:rFonts w:ascii="Arial" w:hAnsi="Arial" w:cs="Arial"/>
          <w:color w:val="212121"/>
          <w:shd w:val="clear" w:color="auto" w:fill="FFFFFF"/>
        </w:rPr>
        <w:t xml:space="preserve">: 10.1161/JAHA.119.013225. </w:t>
      </w:r>
      <w:proofErr w:type="spellStart"/>
      <w:r w:rsidR="00AC596C" w:rsidRPr="001D2ADB">
        <w:rPr>
          <w:rFonts w:ascii="Arial" w:hAnsi="Arial" w:cs="Arial"/>
          <w:color w:val="212121"/>
          <w:shd w:val="clear" w:color="auto" w:fill="FFFFFF"/>
        </w:rPr>
        <w:t>Epub</w:t>
      </w:r>
      <w:proofErr w:type="spellEnd"/>
      <w:r w:rsidR="00AC596C" w:rsidRPr="001D2ADB">
        <w:rPr>
          <w:rFonts w:ascii="Arial" w:hAnsi="Arial" w:cs="Arial"/>
          <w:color w:val="212121"/>
          <w:shd w:val="clear" w:color="auto" w:fill="FFFFFF"/>
        </w:rPr>
        <w:t xml:space="preserve"> 2019 Dec 16. PMID: 31838973; PMCID: PMC6951065.</w:t>
      </w:r>
    </w:p>
    <w:p w14:paraId="483FED3F" w14:textId="77777777" w:rsidR="002B400E" w:rsidRPr="001D2ADB" w:rsidRDefault="002B400E" w:rsidP="001D2ADB">
      <w:pPr>
        <w:spacing w:after="0"/>
        <w:ind w:left="576" w:hanging="576"/>
        <w:rPr>
          <w:rFonts w:ascii="Arial" w:hAnsi="Arial" w:cs="Arial"/>
        </w:rPr>
      </w:pPr>
      <w:r w:rsidRPr="001D2ADB">
        <w:rPr>
          <w:rFonts w:ascii="Arial" w:hAnsi="Arial" w:cs="Arial"/>
        </w:rPr>
        <w:t>64.</w:t>
      </w:r>
      <w:r w:rsidRPr="001D2ADB">
        <w:rPr>
          <w:rFonts w:ascii="Arial" w:hAnsi="Arial" w:cs="Arial"/>
        </w:rPr>
        <w:tab/>
      </w:r>
      <w:r w:rsidR="0062058E" w:rsidRPr="001D2ADB">
        <w:rPr>
          <w:rFonts w:ascii="Arial" w:hAnsi="Arial" w:cs="Arial"/>
        </w:rPr>
        <w:t>Diagnosis and Treatment of Heterozygous Familial Hypercholesterolemia</w:t>
      </w:r>
      <w:r w:rsidR="0062058E" w:rsidRPr="001D2ADB">
        <w:rPr>
          <w:rFonts w:ascii="Arial" w:hAnsi="Arial" w:cs="Arial"/>
          <w:color w:val="000000"/>
        </w:rPr>
        <w:t xml:space="preserve"> </w:t>
      </w:r>
      <w:r w:rsidR="0062058E" w:rsidRPr="001D2ADB">
        <w:rPr>
          <w:rStyle w:val="authorname"/>
          <w:rFonts w:ascii="Arial" w:hAnsi="Arial" w:cs="Arial"/>
          <w:color w:val="000000"/>
        </w:rPr>
        <w:t>Mary P. McGowan</w:t>
      </w:r>
      <w:r w:rsidR="0062058E" w:rsidRPr="001D2ADB">
        <w:rPr>
          <w:rStyle w:val="contrib"/>
          <w:rFonts w:ascii="Arial" w:hAnsi="Arial" w:cs="Arial"/>
          <w:color w:val="000000"/>
        </w:rPr>
        <w:t> MD </w:t>
      </w:r>
      <w:proofErr w:type="gramStart"/>
      <w:r w:rsidR="0062058E" w:rsidRPr="001D2ADB">
        <w:rPr>
          <w:rStyle w:val="contrib"/>
          <w:rFonts w:ascii="Arial" w:hAnsi="Arial" w:cs="Arial"/>
          <w:color w:val="000000"/>
        </w:rPr>
        <w:t>mary.p.mcgowan@hitchcock.org </w:t>
      </w:r>
      <w:r w:rsidR="0062058E" w:rsidRPr="001D2ADB">
        <w:rPr>
          <w:rFonts w:ascii="Arial" w:hAnsi="Arial" w:cs="Arial"/>
          <w:color w:val="000000"/>
        </w:rPr>
        <w:t>,</w:t>
      </w:r>
      <w:proofErr w:type="gramEnd"/>
      <w:r w:rsidR="0062058E" w:rsidRPr="001D2ADB">
        <w:rPr>
          <w:rFonts w:ascii="Arial" w:hAnsi="Arial" w:cs="Arial"/>
          <w:color w:val="000000"/>
        </w:rPr>
        <w:t> </w:t>
      </w:r>
      <w:r w:rsidR="0062058E" w:rsidRPr="001D2ADB">
        <w:rPr>
          <w:rStyle w:val="authorname"/>
          <w:rFonts w:ascii="Arial" w:hAnsi="Arial" w:cs="Arial"/>
          <w:color w:val="000000"/>
        </w:rPr>
        <w:t xml:space="preserve">Seyed Hamed Hosseini </w:t>
      </w:r>
      <w:proofErr w:type="spellStart"/>
      <w:r w:rsidR="0062058E" w:rsidRPr="001D2ADB">
        <w:rPr>
          <w:rStyle w:val="authorname"/>
          <w:rFonts w:ascii="Arial" w:hAnsi="Arial" w:cs="Arial"/>
          <w:color w:val="000000"/>
        </w:rPr>
        <w:t>Dehkordi</w:t>
      </w:r>
      <w:proofErr w:type="spellEnd"/>
      <w:r w:rsidR="0062058E" w:rsidRPr="001D2ADB">
        <w:rPr>
          <w:rStyle w:val="contrib"/>
          <w:rFonts w:ascii="Arial" w:hAnsi="Arial" w:cs="Arial"/>
          <w:color w:val="000000"/>
        </w:rPr>
        <w:t> MD </w:t>
      </w:r>
      <w:r w:rsidR="0062058E" w:rsidRPr="001D2ADB">
        <w:rPr>
          <w:rFonts w:ascii="Arial" w:hAnsi="Arial" w:cs="Arial"/>
          <w:color w:val="000000"/>
        </w:rPr>
        <w:t>, </w:t>
      </w:r>
      <w:r w:rsidR="0062058E" w:rsidRPr="001D2ADB">
        <w:rPr>
          <w:rStyle w:val="authorname"/>
          <w:rFonts w:ascii="Arial" w:hAnsi="Arial" w:cs="Arial"/>
          <w:color w:val="000000"/>
        </w:rPr>
        <w:t>Patrick M. Moriarty</w:t>
      </w:r>
      <w:r w:rsidR="0062058E" w:rsidRPr="001D2ADB">
        <w:rPr>
          <w:rStyle w:val="contrib"/>
          <w:rFonts w:ascii="Arial" w:hAnsi="Arial" w:cs="Arial"/>
          <w:color w:val="000000"/>
        </w:rPr>
        <w:t> MD </w:t>
      </w:r>
      <w:r w:rsidR="0062058E" w:rsidRPr="001D2ADB">
        <w:rPr>
          <w:rFonts w:ascii="Arial" w:hAnsi="Arial" w:cs="Arial"/>
          <w:color w:val="000000"/>
        </w:rPr>
        <w:t>, and </w:t>
      </w:r>
      <w:r w:rsidR="0062058E" w:rsidRPr="001D2ADB">
        <w:rPr>
          <w:rStyle w:val="authorname"/>
          <w:rFonts w:ascii="Arial" w:hAnsi="Arial" w:cs="Arial"/>
          <w:color w:val="000000"/>
        </w:rPr>
        <w:t>P. Barton Duell</w:t>
      </w:r>
      <w:r w:rsidR="0062058E" w:rsidRPr="001D2ADB">
        <w:rPr>
          <w:rStyle w:val="contrib"/>
          <w:rFonts w:ascii="Arial" w:hAnsi="Arial" w:cs="Arial"/>
          <w:color w:val="000000"/>
        </w:rPr>
        <w:t> MD</w:t>
      </w:r>
    </w:p>
    <w:p w14:paraId="18D8562B" w14:textId="63D33559" w:rsidR="0065640A" w:rsidRPr="001D2ADB" w:rsidRDefault="002B400E" w:rsidP="001D2ADB">
      <w:pPr>
        <w:spacing w:after="0"/>
        <w:ind w:left="576" w:hanging="576"/>
        <w:rPr>
          <w:rFonts w:ascii="Arial" w:hAnsi="Arial" w:cs="Arial"/>
        </w:rPr>
      </w:pPr>
      <w:r w:rsidRPr="001D2ADB">
        <w:rPr>
          <w:rFonts w:ascii="Arial" w:hAnsi="Arial" w:cs="Arial"/>
          <w:shd w:val="clear" w:color="auto" w:fill="FFFFFF"/>
        </w:rPr>
        <w:t>65.</w:t>
      </w:r>
      <w:r w:rsidRPr="001D2ADB">
        <w:rPr>
          <w:rFonts w:ascii="Arial" w:hAnsi="Arial" w:cs="Arial"/>
          <w:shd w:val="clear" w:color="auto" w:fill="FFFFFF"/>
        </w:rPr>
        <w:tab/>
      </w:r>
      <w:proofErr w:type="spellStart"/>
      <w:r w:rsidR="0065640A" w:rsidRPr="001D2ADB">
        <w:rPr>
          <w:rFonts w:ascii="Arial" w:hAnsi="Arial" w:cs="Arial"/>
          <w:shd w:val="clear" w:color="auto" w:fill="FFFFFF"/>
        </w:rPr>
        <w:t>Defesche</w:t>
      </w:r>
      <w:proofErr w:type="spellEnd"/>
      <w:r w:rsidR="0065640A" w:rsidRPr="001D2ADB">
        <w:rPr>
          <w:rFonts w:ascii="Arial" w:hAnsi="Arial" w:cs="Arial"/>
          <w:shd w:val="clear" w:color="auto" w:fill="FFFFFF"/>
        </w:rPr>
        <w:t xml:space="preserve"> JC, Gidding SS, Harada-Shiba M, Hegele RA, Santos RD, Wierzbicki AS. Familial </w:t>
      </w:r>
      <w:proofErr w:type="spellStart"/>
      <w:r w:rsidR="0065640A" w:rsidRPr="001D2ADB">
        <w:rPr>
          <w:rFonts w:ascii="Arial" w:hAnsi="Arial" w:cs="Arial"/>
          <w:shd w:val="clear" w:color="auto" w:fill="FFFFFF"/>
        </w:rPr>
        <w:t>hypercholesterolaemia</w:t>
      </w:r>
      <w:proofErr w:type="spellEnd"/>
      <w:r w:rsidR="0065640A" w:rsidRPr="001D2ADB">
        <w:rPr>
          <w:rFonts w:ascii="Arial" w:hAnsi="Arial" w:cs="Arial"/>
          <w:shd w:val="clear" w:color="auto" w:fill="FFFFFF"/>
        </w:rPr>
        <w:t xml:space="preserve">. Nat Rev Dis Primers. 2017 Dec </w:t>
      </w:r>
      <w:proofErr w:type="gramStart"/>
      <w:r w:rsidR="0065640A" w:rsidRPr="001D2ADB">
        <w:rPr>
          <w:rFonts w:ascii="Arial" w:hAnsi="Arial" w:cs="Arial"/>
          <w:shd w:val="clear" w:color="auto" w:fill="FFFFFF"/>
        </w:rPr>
        <w:t>7;3:17093</w:t>
      </w:r>
      <w:proofErr w:type="gramEnd"/>
      <w:r w:rsidR="0065640A" w:rsidRPr="001D2ADB">
        <w:rPr>
          <w:rFonts w:ascii="Arial" w:hAnsi="Arial" w:cs="Arial"/>
          <w:shd w:val="clear" w:color="auto" w:fill="FFFFFF"/>
        </w:rPr>
        <w:t xml:space="preserve">. </w:t>
      </w:r>
      <w:proofErr w:type="spellStart"/>
      <w:r w:rsidR="0065640A" w:rsidRPr="001D2ADB">
        <w:rPr>
          <w:rFonts w:ascii="Arial" w:hAnsi="Arial" w:cs="Arial"/>
          <w:shd w:val="clear" w:color="auto" w:fill="FFFFFF"/>
        </w:rPr>
        <w:t>doi</w:t>
      </w:r>
      <w:proofErr w:type="spellEnd"/>
      <w:r w:rsidR="0065640A" w:rsidRPr="001D2ADB">
        <w:rPr>
          <w:rFonts w:ascii="Arial" w:hAnsi="Arial" w:cs="Arial"/>
          <w:shd w:val="clear" w:color="auto" w:fill="FFFFFF"/>
        </w:rPr>
        <w:t>: 10.1038/nrdp.2017.93. PMID: 29219151.</w:t>
      </w:r>
    </w:p>
    <w:p w14:paraId="12CE2B2A" w14:textId="7DB83D1F" w:rsidR="0062058E" w:rsidRPr="001D2ADB" w:rsidRDefault="0062058E" w:rsidP="001D2ADB">
      <w:pPr>
        <w:spacing w:after="0"/>
        <w:ind w:left="576" w:hanging="576"/>
        <w:rPr>
          <w:rFonts w:ascii="Arial" w:hAnsi="Arial" w:cs="Arial"/>
        </w:rPr>
      </w:pPr>
      <w:r w:rsidRPr="001D2ADB">
        <w:rPr>
          <w:rFonts w:ascii="Arial" w:hAnsi="Arial" w:cs="Arial"/>
          <w:shd w:val="clear" w:color="auto" w:fill="FFFFFF"/>
        </w:rPr>
        <w:t>6</w:t>
      </w:r>
      <w:r w:rsidR="00CC5A11" w:rsidRPr="001D2ADB">
        <w:rPr>
          <w:rFonts w:ascii="Arial" w:hAnsi="Arial" w:cs="Arial"/>
          <w:shd w:val="clear" w:color="auto" w:fill="FFFFFF"/>
        </w:rPr>
        <w:t>6</w:t>
      </w:r>
      <w:r w:rsidRPr="001D2ADB">
        <w:rPr>
          <w:rFonts w:ascii="Arial" w:hAnsi="Arial" w:cs="Arial"/>
          <w:shd w:val="clear" w:color="auto" w:fill="FFFFFF"/>
        </w:rPr>
        <w:t xml:space="preserve">. </w:t>
      </w:r>
      <w:r w:rsidRPr="001D2ADB">
        <w:rPr>
          <w:rFonts w:ascii="Arial" w:hAnsi="Arial" w:cs="Arial"/>
          <w:shd w:val="clear" w:color="auto" w:fill="FFFFFF"/>
        </w:rPr>
        <w:tab/>
      </w:r>
      <w:proofErr w:type="spellStart"/>
      <w:r w:rsidRPr="001D2ADB">
        <w:rPr>
          <w:rFonts w:ascii="Arial" w:hAnsi="Arial" w:cs="Arial"/>
          <w:shd w:val="clear" w:color="auto" w:fill="FFFFFF"/>
        </w:rPr>
        <w:t>Alenizi</w:t>
      </w:r>
      <w:proofErr w:type="spellEnd"/>
      <w:r w:rsidRPr="001D2ADB">
        <w:rPr>
          <w:rFonts w:ascii="Arial" w:hAnsi="Arial" w:cs="Arial"/>
          <w:shd w:val="clear" w:color="auto" w:fill="FFFFFF"/>
        </w:rPr>
        <w:t xml:space="preserve"> MM, </w:t>
      </w:r>
      <w:proofErr w:type="spellStart"/>
      <w:r w:rsidRPr="001D2ADB">
        <w:rPr>
          <w:rFonts w:ascii="Arial" w:hAnsi="Arial" w:cs="Arial"/>
          <w:shd w:val="clear" w:color="auto" w:fill="FFFFFF"/>
        </w:rPr>
        <w:t>Almushir</w:t>
      </w:r>
      <w:proofErr w:type="spellEnd"/>
      <w:r w:rsidRPr="001D2ADB">
        <w:rPr>
          <w:rFonts w:ascii="Arial" w:hAnsi="Arial" w:cs="Arial"/>
          <w:shd w:val="clear" w:color="auto" w:fill="FFFFFF"/>
        </w:rPr>
        <w:t xml:space="preserve"> S, </w:t>
      </w:r>
      <w:proofErr w:type="spellStart"/>
      <w:r w:rsidRPr="001D2ADB">
        <w:rPr>
          <w:rFonts w:ascii="Arial" w:hAnsi="Arial" w:cs="Arial"/>
          <w:shd w:val="clear" w:color="auto" w:fill="FFFFFF"/>
        </w:rPr>
        <w:t>Sulimanaa</w:t>
      </w:r>
      <w:proofErr w:type="spellEnd"/>
      <w:r w:rsidRPr="001D2ADB">
        <w:rPr>
          <w:rFonts w:ascii="Arial" w:hAnsi="Arial" w:cs="Arial"/>
          <w:shd w:val="clear" w:color="auto" w:fill="FFFFFF"/>
        </w:rPr>
        <w:t xml:space="preserve"> I. Surgical Management and Outcomes of Homozygous Familial Hypercholesterolemia in Two Cousins: A Rare Case Report. </w:t>
      </w:r>
      <w:proofErr w:type="spellStart"/>
      <w:r w:rsidRPr="001D2ADB">
        <w:rPr>
          <w:rFonts w:ascii="Arial" w:hAnsi="Arial" w:cs="Arial"/>
          <w:shd w:val="clear" w:color="auto" w:fill="FFFFFF"/>
        </w:rPr>
        <w:t>Cureus</w:t>
      </w:r>
      <w:proofErr w:type="spellEnd"/>
      <w:r w:rsidRPr="001D2ADB">
        <w:rPr>
          <w:rFonts w:ascii="Arial" w:hAnsi="Arial" w:cs="Arial"/>
          <w:shd w:val="clear" w:color="auto" w:fill="FFFFFF"/>
        </w:rPr>
        <w:t>. 2020 Nov 25;12(11</w:t>
      </w:r>
      <w:proofErr w:type="gramStart"/>
      <w:r w:rsidRPr="001D2ADB">
        <w:rPr>
          <w:rFonts w:ascii="Arial" w:hAnsi="Arial" w:cs="Arial"/>
          <w:shd w:val="clear" w:color="auto" w:fill="FFFFFF"/>
        </w:rPr>
        <w:t>):e</w:t>
      </w:r>
      <w:proofErr w:type="gramEnd"/>
      <w:r w:rsidRPr="001D2ADB">
        <w:rPr>
          <w:rFonts w:ascii="Arial" w:hAnsi="Arial" w:cs="Arial"/>
          <w:shd w:val="clear" w:color="auto" w:fill="FFFFFF"/>
        </w:rPr>
        <w:t xml:space="preserve">11692. </w:t>
      </w:r>
      <w:proofErr w:type="spellStart"/>
      <w:r w:rsidRPr="001D2ADB">
        <w:rPr>
          <w:rFonts w:ascii="Arial" w:hAnsi="Arial" w:cs="Arial"/>
          <w:shd w:val="clear" w:color="auto" w:fill="FFFFFF"/>
        </w:rPr>
        <w:t>doi</w:t>
      </w:r>
      <w:proofErr w:type="spellEnd"/>
      <w:r w:rsidRPr="001D2ADB">
        <w:rPr>
          <w:rFonts w:ascii="Arial" w:hAnsi="Arial" w:cs="Arial"/>
          <w:shd w:val="clear" w:color="auto" w:fill="FFFFFF"/>
        </w:rPr>
        <w:t>: 10.7759/cureus.11692. PMID: 33391926; PMCID: PMC7769830.</w:t>
      </w:r>
    </w:p>
    <w:p w14:paraId="0D67899B" w14:textId="77777777" w:rsidR="00AC596C" w:rsidRPr="001D2ADB" w:rsidRDefault="0062058E" w:rsidP="001D2ADB">
      <w:pPr>
        <w:spacing w:after="0"/>
        <w:ind w:left="576" w:hanging="576"/>
        <w:rPr>
          <w:rFonts w:ascii="Arial" w:hAnsi="Arial" w:cs="Arial"/>
        </w:rPr>
      </w:pPr>
      <w:r w:rsidRPr="001D2ADB">
        <w:rPr>
          <w:rFonts w:ascii="Arial" w:hAnsi="Arial" w:cs="Arial"/>
        </w:rPr>
        <w:t>6</w:t>
      </w:r>
      <w:r w:rsidR="00CC5A11" w:rsidRPr="001D2ADB">
        <w:rPr>
          <w:rFonts w:ascii="Arial" w:hAnsi="Arial" w:cs="Arial"/>
        </w:rPr>
        <w:t>7</w:t>
      </w:r>
      <w:r w:rsidRPr="001D2ADB">
        <w:rPr>
          <w:rFonts w:ascii="Arial" w:hAnsi="Arial" w:cs="Arial"/>
        </w:rPr>
        <w:t>.</w:t>
      </w:r>
      <w:r w:rsidRPr="001D2ADB">
        <w:rPr>
          <w:rFonts w:ascii="Arial" w:hAnsi="Arial" w:cs="Arial"/>
        </w:rPr>
        <w:tab/>
        <w:t xml:space="preserve">German, C. Homozygous Familial Hypercholesteremia: Diagnosis and Emerging Therapies. 2022 Feb 18. American College of Cardiology. </w:t>
      </w:r>
    </w:p>
    <w:p w14:paraId="456F8125" w14:textId="77777777" w:rsidR="00AC596C" w:rsidRPr="001D2ADB" w:rsidRDefault="00AC596C" w:rsidP="001D2ADB">
      <w:pPr>
        <w:spacing w:after="0"/>
        <w:ind w:left="576" w:hanging="576"/>
        <w:rPr>
          <w:rFonts w:ascii="Arial" w:hAnsi="Arial" w:cs="Arial"/>
        </w:rPr>
      </w:pPr>
      <w:r w:rsidRPr="001D2ADB">
        <w:rPr>
          <w:rFonts w:ascii="Arial" w:hAnsi="Arial" w:cs="Arial"/>
          <w:shd w:val="clear" w:color="auto" w:fill="FFFFFF"/>
        </w:rPr>
        <w:t>68.</w:t>
      </w:r>
      <w:r w:rsidRPr="001D2ADB">
        <w:rPr>
          <w:rFonts w:ascii="Arial" w:hAnsi="Arial" w:cs="Arial"/>
          <w:shd w:val="clear" w:color="auto" w:fill="FFFFFF"/>
        </w:rPr>
        <w:tab/>
      </w:r>
      <w:r w:rsidR="0062058E" w:rsidRPr="001D2ADB">
        <w:rPr>
          <w:rFonts w:ascii="Arial" w:hAnsi="Arial" w:cs="Arial"/>
          <w:shd w:val="clear" w:color="auto" w:fill="FFFFFF"/>
        </w:rPr>
        <w:t xml:space="preserve">Avis HJ, Vissers MN, Stein EA, </w:t>
      </w:r>
      <w:proofErr w:type="spellStart"/>
      <w:r w:rsidR="0062058E" w:rsidRPr="001D2ADB">
        <w:rPr>
          <w:rFonts w:ascii="Arial" w:hAnsi="Arial" w:cs="Arial"/>
          <w:shd w:val="clear" w:color="auto" w:fill="FFFFFF"/>
        </w:rPr>
        <w:t>Wijburg</w:t>
      </w:r>
      <w:proofErr w:type="spellEnd"/>
      <w:r w:rsidR="0062058E" w:rsidRPr="001D2ADB">
        <w:rPr>
          <w:rFonts w:ascii="Arial" w:hAnsi="Arial" w:cs="Arial"/>
          <w:shd w:val="clear" w:color="auto" w:fill="FFFFFF"/>
        </w:rPr>
        <w:t xml:space="preserve"> FA, Trip MD, </w:t>
      </w:r>
      <w:proofErr w:type="spellStart"/>
      <w:r w:rsidR="0062058E" w:rsidRPr="001D2ADB">
        <w:rPr>
          <w:rFonts w:ascii="Arial" w:hAnsi="Arial" w:cs="Arial"/>
          <w:shd w:val="clear" w:color="auto" w:fill="FFFFFF"/>
        </w:rPr>
        <w:t>Kastelein</w:t>
      </w:r>
      <w:proofErr w:type="spellEnd"/>
      <w:r w:rsidR="0062058E" w:rsidRPr="001D2ADB">
        <w:rPr>
          <w:rFonts w:ascii="Arial" w:hAnsi="Arial" w:cs="Arial"/>
          <w:shd w:val="clear" w:color="auto" w:fill="FFFFFF"/>
        </w:rPr>
        <w:t xml:space="preserve"> JJ, Hutten BA. A systematic review and meta-analysis of statin therapy in children with familial hypercholesterolemia. </w:t>
      </w:r>
      <w:proofErr w:type="spellStart"/>
      <w:r w:rsidR="0062058E" w:rsidRPr="001D2ADB">
        <w:rPr>
          <w:rFonts w:ascii="Arial" w:hAnsi="Arial" w:cs="Arial"/>
          <w:shd w:val="clear" w:color="auto" w:fill="FFFFFF"/>
        </w:rPr>
        <w:t>Arterioscler</w:t>
      </w:r>
      <w:proofErr w:type="spellEnd"/>
      <w:r w:rsidR="0062058E" w:rsidRPr="001D2ADB">
        <w:rPr>
          <w:rFonts w:ascii="Arial" w:hAnsi="Arial" w:cs="Arial"/>
          <w:shd w:val="clear" w:color="auto" w:fill="FFFFFF"/>
        </w:rPr>
        <w:t xml:space="preserve"> </w:t>
      </w:r>
      <w:proofErr w:type="spellStart"/>
      <w:r w:rsidR="0062058E" w:rsidRPr="001D2ADB">
        <w:rPr>
          <w:rFonts w:ascii="Arial" w:hAnsi="Arial" w:cs="Arial"/>
          <w:shd w:val="clear" w:color="auto" w:fill="FFFFFF"/>
        </w:rPr>
        <w:t>Thromb</w:t>
      </w:r>
      <w:proofErr w:type="spellEnd"/>
      <w:r w:rsidR="0062058E" w:rsidRPr="001D2ADB">
        <w:rPr>
          <w:rFonts w:ascii="Arial" w:hAnsi="Arial" w:cs="Arial"/>
          <w:shd w:val="clear" w:color="auto" w:fill="FFFFFF"/>
        </w:rPr>
        <w:t xml:space="preserve"> </w:t>
      </w:r>
      <w:proofErr w:type="spellStart"/>
      <w:r w:rsidR="0062058E" w:rsidRPr="001D2ADB">
        <w:rPr>
          <w:rFonts w:ascii="Arial" w:hAnsi="Arial" w:cs="Arial"/>
          <w:shd w:val="clear" w:color="auto" w:fill="FFFFFF"/>
        </w:rPr>
        <w:t>Vasc</w:t>
      </w:r>
      <w:proofErr w:type="spellEnd"/>
      <w:r w:rsidR="0062058E" w:rsidRPr="001D2ADB">
        <w:rPr>
          <w:rFonts w:ascii="Arial" w:hAnsi="Arial" w:cs="Arial"/>
          <w:shd w:val="clear" w:color="auto" w:fill="FFFFFF"/>
        </w:rPr>
        <w:t xml:space="preserve"> Biol. 2007 Aug;27(8):1803-10. </w:t>
      </w:r>
      <w:proofErr w:type="spellStart"/>
      <w:r w:rsidR="0062058E" w:rsidRPr="001D2ADB">
        <w:rPr>
          <w:rFonts w:ascii="Arial" w:hAnsi="Arial" w:cs="Arial"/>
          <w:shd w:val="clear" w:color="auto" w:fill="FFFFFF"/>
        </w:rPr>
        <w:t>doi</w:t>
      </w:r>
      <w:proofErr w:type="spellEnd"/>
      <w:r w:rsidR="0062058E" w:rsidRPr="001D2ADB">
        <w:rPr>
          <w:rFonts w:ascii="Arial" w:hAnsi="Arial" w:cs="Arial"/>
          <w:shd w:val="clear" w:color="auto" w:fill="FFFFFF"/>
        </w:rPr>
        <w:t xml:space="preserve">: 10.1161/ATVBAHA.107.145151. </w:t>
      </w:r>
      <w:proofErr w:type="spellStart"/>
      <w:r w:rsidR="0062058E" w:rsidRPr="001D2ADB">
        <w:rPr>
          <w:rFonts w:ascii="Arial" w:hAnsi="Arial" w:cs="Arial"/>
          <w:shd w:val="clear" w:color="auto" w:fill="FFFFFF"/>
        </w:rPr>
        <w:t>Epub</w:t>
      </w:r>
      <w:proofErr w:type="spellEnd"/>
      <w:r w:rsidR="0062058E" w:rsidRPr="001D2ADB">
        <w:rPr>
          <w:rFonts w:ascii="Arial" w:hAnsi="Arial" w:cs="Arial"/>
          <w:shd w:val="clear" w:color="auto" w:fill="FFFFFF"/>
        </w:rPr>
        <w:t xml:space="preserve"> 2007 Jun 14. PMID: 17569881.</w:t>
      </w:r>
    </w:p>
    <w:p w14:paraId="079FF19A" w14:textId="77777777" w:rsidR="00AC596C" w:rsidRPr="001D2ADB" w:rsidRDefault="00AC596C" w:rsidP="001D2ADB">
      <w:pPr>
        <w:spacing w:after="0"/>
        <w:ind w:left="576" w:hanging="576"/>
        <w:rPr>
          <w:rFonts w:ascii="Arial" w:hAnsi="Arial" w:cs="Arial"/>
        </w:rPr>
      </w:pPr>
      <w:r w:rsidRPr="001D2ADB">
        <w:rPr>
          <w:rFonts w:ascii="Arial" w:hAnsi="Arial" w:cs="Arial"/>
          <w:color w:val="212121"/>
          <w:shd w:val="clear" w:color="auto" w:fill="FFFFFF"/>
        </w:rPr>
        <w:t>69.</w:t>
      </w:r>
      <w:r w:rsidRPr="001D2ADB">
        <w:rPr>
          <w:rFonts w:ascii="Arial" w:hAnsi="Arial" w:cs="Arial"/>
          <w:color w:val="212121"/>
          <w:shd w:val="clear" w:color="auto" w:fill="FFFFFF"/>
        </w:rPr>
        <w:tab/>
      </w:r>
      <w:r w:rsidR="00AE1C75" w:rsidRPr="001D2ADB">
        <w:rPr>
          <w:rFonts w:ascii="Arial" w:hAnsi="Arial" w:cs="Arial"/>
          <w:color w:val="212121"/>
          <w:shd w:val="clear" w:color="auto" w:fill="FFFFFF"/>
        </w:rPr>
        <w:t xml:space="preserve">Mirzaee S, Cameron JD. Familial hypercholesterolemia and cardiovascular risk stratification. J Clin </w:t>
      </w:r>
      <w:proofErr w:type="spellStart"/>
      <w:r w:rsidR="00AE1C75" w:rsidRPr="001D2ADB">
        <w:rPr>
          <w:rFonts w:ascii="Arial" w:hAnsi="Arial" w:cs="Arial"/>
          <w:color w:val="212121"/>
          <w:shd w:val="clear" w:color="auto" w:fill="FFFFFF"/>
        </w:rPr>
        <w:t>Lipidol</w:t>
      </w:r>
      <w:proofErr w:type="spellEnd"/>
      <w:r w:rsidR="00AE1C75" w:rsidRPr="001D2ADB">
        <w:rPr>
          <w:rFonts w:ascii="Arial" w:hAnsi="Arial" w:cs="Arial"/>
          <w:color w:val="212121"/>
          <w:shd w:val="clear" w:color="auto" w:fill="FFFFFF"/>
        </w:rPr>
        <w:t xml:space="preserve">. 2018 Sep-Oct;12(5):1328-1329. </w:t>
      </w:r>
      <w:proofErr w:type="spellStart"/>
      <w:r w:rsidR="00AE1C75" w:rsidRPr="001D2ADB">
        <w:rPr>
          <w:rFonts w:ascii="Arial" w:hAnsi="Arial" w:cs="Arial"/>
          <w:color w:val="212121"/>
          <w:shd w:val="clear" w:color="auto" w:fill="FFFFFF"/>
        </w:rPr>
        <w:t>doi</w:t>
      </w:r>
      <w:proofErr w:type="spellEnd"/>
      <w:r w:rsidR="00AE1C75" w:rsidRPr="001D2ADB">
        <w:rPr>
          <w:rFonts w:ascii="Arial" w:hAnsi="Arial" w:cs="Arial"/>
          <w:color w:val="212121"/>
          <w:shd w:val="clear" w:color="auto" w:fill="FFFFFF"/>
        </w:rPr>
        <w:t xml:space="preserve">: 10.1016/j.jacl.2018.07.002. </w:t>
      </w:r>
      <w:proofErr w:type="spellStart"/>
      <w:r w:rsidR="00AE1C75" w:rsidRPr="001D2ADB">
        <w:rPr>
          <w:rFonts w:ascii="Arial" w:hAnsi="Arial" w:cs="Arial"/>
          <w:color w:val="212121"/>
          <w:shd w:val="clear" w:color="auto" w:fill="FFFFFF"/>
        </w:rPr>
        <w:t>Epub</w:t>
      </w:r>
      <w:proofErr w:type="spellEnd"/>
      <w:r w:rsidR="00AE1C75" w:rsidRPr="001D2ADB">
        <w:rPr>
          <w:rFonts w:ascii="Arial" w:hAnsi="Arial" w:cs="Arial"/>
          <w:color w:val="212121"/>
          <w:shd w:val="clear" w:color="auto" w:fill="FFFFFF"/>
        </w:rPr>
        <w:t xml:space="preserve"> 2018 Jul 10. PMID: 30061010.</w:t>
      </w:r>
    </w:p>
    <w:p w14:paraId="6F51822A" w14:textId="09860290" w:rsidR="00D650ED" w:rsidRPr="001D2ADB" w:rsidRDefault="00AC596C" w:rsidP="001D2ADB">
      <w:pPr>
        <w:spacing w:after="0"/>
        <w:ind w:left="576" w:hanging="576"/>
        <w:rPr>
          <w:rFonts w:ascii="Arial" w:hAnsi="Arial" w:cs="Arial"/>
        </w:rPr>
      </w:pPr>
      <w:r w:rsidRPr="001D2ADB">
        <w:rPr>
          <w:rFonts w:ascii="Arial" w:hAnsi="Arial" w:cs="Arial"/>
          <w:color w:val="212121"/>
          <w:shd w:val="clear" w:color="auto" w:fill="FFFFFF"/>
        </w:rPr>
        <w:t>70.</w:t>
      </w:r>
      <w:r w:rsidRPr="001D2ADB">
        <w:rPr>
          <w:rFonts w:ascii="Arial" w:hAnsi="Arial" w:cs="Arial"/>
          <w:color w:val="212121"/>
          <w:shd w:val="clear" w:color="auto" w:fill="FFFFFF"/>
        </w:rPr>
        <w:tab/>
      </w:r>
      <w:proofErr w:type="spellStart"/>
      <w:r w:rsidR="002C1A73" w:rsidRPr="001D2ADB">
        <w:rPr>
          <w:rFonts w:ascii="Arial" w:hAnsi="Arial" w:cs="Arial"/>
          <w:color w:val="212121"/>
          <w:shd w:val="clear" w:color="auto" w:fill="FFFFFF"/>
        </w:rPr>
        <w:t>Luirink</w:t>
      </w:r>
      <w:proofErr w:type="spellEnd"/>
      <w:r w:rsidR="002C1A73" w:rsidRPr="001D2ADB">
        <w:rPr>
          <w:rFonts w:ascii="Arial" w:hAnsi="Arial" w:cs="Arial"/>
          <w:color w:val="212121"/>
          <w:shd w:val="clear" w:color="auto" w:fill="FFFFFF"/>
        </w:rPr>
        <w:t xml:space="preserve"> IK, Wiegman A, Kusters DM, Hof MH, Groothoff JW, de Groot E, </w:t>
      </w:r>
      <w:proofErr w:type="spellStart"/>
      <w:r w:rsidR="002C1A73" w:rsidRPr="001D2ADB">
        <w:rPr>
          <w:rFonts w:ascii="Arial" w:hAnsi="Arial" w:cs="Arial"/>
          <w:color w:val="212121"/>
          <w:shd w:val="clear" w:color="auto" w:fill="FFFFFF"/>
        </w:rPr>
        <w:t>Kastelein</w:t>
      </w:r>
      <w:proofErr w:type="spellEnd"/>
      <w:r w:rsidR="002C1A73" w:rsidRPr="001D2ADB">
        <w:rPr>
          <w:rFonts w:ascii="Arial" w:hAnsi="Arial" w:cs="Arial"/>
          <w:color w:val="212121"/>
          <w:shd w:val="clear" w:color="auto" w:fill="FFFFFF"/>
        </w:rPr>
        <w:t xml:space="preserve"> JJP, Hutten BA. 20-Year Follow-up of Statins in Children with Familial Hypercholesterolemia. N Engl J Med. 2019 Oct 17;381(16):1547-1556. </w:t>
      </w:r>
      <w:proofErr w:type="spellStart"/>
      <w:r w:rsidR="002C1A73" w:rsidRPr="001D2ADB">
        <w:rPr>
          <w:rFonts w:ascii="Arial" w:hAnsi="Arial" w:cs="Arial"/>
          <w:color w:val="212121"/>
          <w:shd w:val="clear" w:color="auto" w:fill="FFFFFF"/>
        </w:rPr>
        <w:t>doi</w:t>
      </w:r>
      <w:proofErr w:type="spellEnd"/>
      <w:r w:rsidR="002C1A73" w:rsidRPr="001D2ADB">
        <w:rPr>
          <w:rFonts w:ascii="Arial" w:hAnsi="Arial" w:cs="Arial"/>
          <w:color w:val="212121"/>
          <w:shd w:val="clear" w:color="auto" w:fill="FFFFFF"/>
        </w:rPr>
        <w:t>: 10.1056/NEJMoa1816454. PMID: 31618540.</w:t>
      </w:r>
    </w:p>
    <w:p w14:paraId="1D83D686" w14:textId="7063DE71" w:rsidR="0062058E" w:rsidRPr="001D2ADB" w:rsidRDefault="00CC5A11" w:rsidP="001D2ADB">
      <w:pPr>
        <w:spacing w:after="0"/>
        <w:ind w:left="576" w:hanging="576"/>
        <w:rPr>
          <w:rStyle w:val="Hyperlink"/>
          <w:rFonts w:ascii="Arial" w:hAnsi="Arial" w:cs="Arial"/>
          <w:shd w:val="clear" w:color="auto" w:fill="FFFFFF"/>
        </w:rPr>
      </w:pPr>
      <w:r w:rsidRPr="001D2ADB">
        <w:rPr>
          <w:rFonts w:ascii="Arial" w:hAnsi="Arial" w:cs="Arial"/>
        </w:rPr>
        <w:t>71</w:t>
      </w:r>
      <w:r w:rsidR="0062058E" w:rsidRPr="001D2ADB">
        <w:rPr>
          <w:rFonts w:ascii="Arial" w:hAnsi="Arial" w:cs="Arial"/>
        </w:rPr>
        <w:t>.</w:t>
      </w:r>
      <w:r w:rsidR="0062058E" w:rsidRPr="001D2ADB">
        <w:rPr>
          <w:rFonts w:ascii="Arial" w:hAnsi="Arial" w:cs="Arial"/>
        </w:rPr>
        <w:tab/>
      </w:r>
      <w:r w:rsidR="0062058E" w:rsidRPr="001D2ADB">
        <w:rPr>
          <w:rFonts w:ascii="Arial" w:hAnsi="Arial" w:cs="Arial"/>
          <w:color w:val="222222"/>
          <w:shd w:val="clear" w:color="auto" w:fill="FFFFFF"/>
        </w:rPr>
        <w:t xml:space="preserve">Mainieri F, </w:t>
      </w:r>
      <w:proofErr w:type="spellStart"/>
      <w:r w:rsidR="0062058E" w:rsidRPr="001D2ADB">
        <w:rPr>
          <w:rFonts w:ascii="Arial" w:hAnsi="Arial" w:cs="Arial"/>
          <w:color w:val="222222"/>
          <w:shd w:val="clear" w:color="auto" w:fill="FFFFFF"/>
        </w:rPr>
        <w:t>Tagi</w:t>
      </w:r>
      <w:proofErr w:type="spellEnd"/>
      <w:r w:rsidR="0062058E" w:rsidRPr="001D2ADB">
        <w:rPr>
          <w:rFonts w:ascii="Arial" w:hAnsi="Arial" w:cs="Arial"/>
          <w:color w:val="222222"/>
          <w:shd w:val="clear" w:color="auto" w:fill="FFFFFF"/>
        </w:rPr>
        <w:t xml:space="preserve"> VM, Chiarelli F. Recent Advances on Familial Hypercholesterolemia in Children and Adolescents. </w:t>
      </w:r>
      <w:r w:rsidR="0062058E" w:rsidRPr="001D2ADB">
        <w:rPr>
          <w:rFonts w:ascii="Arial" w:hAnsi="Arial" w:cs="Arial"/>
          <w:i/>
          <w:iCs/>
          <w:color w:val="222222"/>
          <w:shd w:val="clear" w:color="auto" w:fill="FFFFFF"/>
        </w:rPr>
        <w:t>Biomedicines</w:t>
      </w:r>
      <w:r w:rsidR="0062058E" w:rsidRPr="001D2ADB">
        <w:rPr>
          <w:rFonts w:ascii="Arial" w:hAnsi="Arial" w:cs="Arial"/>
          <w:color w:val="222222"/>
          <w:shd w:val="clear" w:color="auto" w:fill="FFFFFF"/>
        </w:rPr>
        <w:t xml:space="preserve">. 2022; 10(5):1043. </w:t>
      </w:r>
      <w:r w:rsidR="0062058E" w:rsidRPr="001D2ADB">
        <w:rPr>
          <w:rFonts w:ascii="Arial" w:hAnsi="Arial" w:cs="Arial"/>
          <w:shd w:val="clear" w:color="auto" w:fill="FFFFFF"/>
        </w:rPr>
        <w:t>https://doi.org/10.3390/biomedicines10051043</w:t>
      </w:r>
    </w:p>
    <w:p w14:paraId="602D4BE0" w14:textId="00F76F5E" w:rsidR="0062058E" w:rsidRPr="001D2ADB" w:rsidRDefault="0062058E" w:rsidP="001D2ADB">
      <w:pPr>
        <w:spacing w:after="0"/>
        <w:ind w:left="576" w:hanging="576"/>
        <w:rPr>
          <w:rFonts w:ascii="Arial" w:hAnsi="Arial" w:cs="Arial"/>
          <w:shd w:val="clear" w:color="auto" w:fill="FFFFFF"/>
        </w:rPr>
      </w:pPr>
      <w:r w:rsidRPr="001D2ADB">
        <w:rPr>
          <w:rFonts w:ascii="Arial" w:hAnsi="Arial" w:cs="Arial"/>
        </w:rPr>
        <w:t>7</w:t>
      </w:r>
      <w:r w:rsidR="00CC5A11" w:rsidRPr="001D2ADB">
        <w:rPr>
          <w:rFonts w:ascii="Arial" w:hAnsi="Arial" w:cs="Arial"/>
        </w:rPr>
        <w:t>2</w:t>
      </w:r>
      <w:r w:rsidRPr="001D2ADB">
        <w:rPr>
          <w:rFonts w:ascii="Arial" w:hAnsi="Arial" w:cs="Arial"/>
        </w:rPr>
        <w:t>.</w:t>
      </w:r>
      <w:r w:rsidRPr="001D2ADB">
        <w:rPr>
          <w:rFonts w:ascii="Arial" w:hAnsi="Arial" w:cs="Arial"/>
        </w:rPr>
        <w:tab/>
      </w:r>
      <w:r w:rsidRPr="001D2ADB">
        <w:rPr>
          <w:rFonts w:ascii="Arial" w:hAnsi="Arial" w:cs="Arial"/>
          <w:shd w:val="clear" w:color="auto" w:fill="FFFFFF"/>
        </w:rPr>
        <w:t xml:space="preserve">van der Graaf A, Cuffie-Jackson C, Vissers MN, Trip MD, </w:t>
      </w:r>
      <w:proofErr w:type="spellStart"/>
      <w:r w:rsidRPr="001D2ADB">
        <w:rPr>
          <w:rFonts w:ascii="Arial" w:hAnsi="Arial" w:cs="Arial"/>
          <w:shd w:val="clear" w:color="auto" w:fill="FFFFFF"/>
        </w:rPr>
        <w:t>Gagné</w:t>
      </w:r>
      <w:proofErr w:type="spellEnd"/>
      <w:r w:rsidRPr="001D2ADB">
        <w:rPr>
          <w:rFonts w:ascii="Arial" w:hAnsi="Arial" w:cs="Arial"/>
          <w:shd w:val="clear" w:color="auto" w:fill="FFFFFF"/>
        </w:rPr>
        <w:t xml:space="preserve"> C, Shi G, Veltri E, Avis HJ, </w:t>
      </w:r>
      <w:proofErr w:type="spellStart"/>
      <w:r w:rsidRPr="001D2ADB">
        <w:rPr>
          <w:rFonts w:ascii="Arial" w:hAnsi="Arial" w:cs="Arial"/>
          <w:shd w:val="clear" w:color="auto" w:fill="FFFFFF"/>
        </w:rPr>
        <w:t>Kastelein</w:t>
      </w:r>
      <w:proofErr w:type="spellEnd"/>
      <w:r w:rsidRPr="001D2ADB">
        <w:rPr>
          <w:rFonts w:ascii="Arial" w:hAnsi="Arial" w:cs="Arial"/>
          <w:shd w:val="clear" w:color="auto" w:fill="FFFFFF"/>
        </w:rPr>
        <w:t xml:space="preserve"> JJ. Efficacy and safety of coadministration of ezetimibe and simvastatin in adolescents with heterozygous familial hypercholesterolemia. J Am Coll </w:t>
      </w:r>
      <w:proofErr w:type="spellStart"/>
      <w:r w:rsidRPr="001D2ADB">
        <w:rPr>
          <w:rFonts w:ascii="Arial" w:hAnsi="Arial" w:cs="Arial"/>
          <w:shd w:val="clear" w:color="auto" w:fill="FFFFFF"/>
        </w:rPr>
        <w:t>Cardiol</w:t>
      </w:r>
      <w:proofErr w:type="spellEnd"/>
      <w:r w:rsidRPr="001D2ADB">
        <w:rPr>
          <w:rFonts w:ascii="Arial" w:hAnsi="Arial" w:cs="Arial"/>
          <w:shd w:val="clear" w:color="auto" w:fill="FFFFFF"/>
        </w:rPr>
        <w:t xml:space="preserve">. 2008 Oct 21;52(17):1421-9. </w:t>
      </w:r>
      <w:proofErr w:type="spellStart"/>
      <w:r w:rsidRPr="001D2ADB">
        <w:rPr>
          <w:rFonts w:ascii="Arial" w:hAnsi="Arial" w:cs="Arial"/>
          <w:shd w:val="clear" w:color="auto" w:fill="FFFFFF"/>
        </w:rPr>
        <w:t>doi</w:t>
      </w:r>
      <w:proofErr w:type="spellEnd"/>
      <w:r w:rsidRPr="001D2ADB">
        <w:rPr>
          <w:rFonts w:ascii="Arial" w:hAnsi="Arial" w:cs="Arial"/>
          <w:shd w:val="clear" w:color="auto" w:fill="FFFFFF"/>
        </w:rPr>
        <w:t>: 10.1016/j.jacc.2008.09.002. PMID: 18940534</w:t>
      </w:r>
    </w:p>
    <w:p w14:paraId="20168F37" w14:textId="2EDAAD32" w:rsidR="0062058E" w:rsidRPr="001D2ADB" w:rsidRDefault="0062058E" w:rsidP="001D2ADB">
      <w:pPr>
        <w:spacing w:after="0"/>
        <w:ind w:left="576" w:hanging="576"/>
        <w:rPr>
          <w:rFonts w:ascii="Arial" w:hAnsi="Arial" w:cs="Arial"/>
          <w:color w:val="212121"/>
          <w:shd w:val="clear" w:color="auto" w:fill="FFFFFF"/>
        </w:rPr>
      </w:pPr>
      <w:r w:rsidRPr="001D2ADB">
        <w:rPr>
          <w:rFonts w:ascii="Arial" w:hAnsi="Arial" w:cs="Arial"/>
        </w:rPr>
        <w:t>7</w:t>
      </w:r>
      <w:r w:rsidR="00CC5A11" w:rsidRPr="001D2ADB">
        <w:rPr>
          <w:rFonts w:ascii="Arial" w:hAnsi="Arial" w:cs="Arial"/>
        </w:rPr>
        <w:t>3</w:t>
      </w:r>
      <w:r w:rsidRPr="001D2ADB">
        <w:rPr>
          <w:rFonts w:ascii="Arial" w:hAnsi="Arial" w:cs="Arial"/>
        </w:rPr>
        <w:t>.</w:t>
      </w:r>
      <w:r w:rsidRPr="001D2ADB">
        <w:rPr>
          <w:rFonts w:ascii="Arial" w:hAnsi="Arial" w:cs="Arial"/>
        </w:rPr>
        <w:tab/>
      </w:r>
      <w:r w:rsidRPr="001D2ADB">
        <w:rPr>
          <w:rFonts w:ascii="Arial" w:hAnsi="Arial" w:cs="Arial"/>
          <w:color w:val="212121"/>
          <w:shd w:val="clear" w:color="auto" w:fill="FFFFFF"/>
        </w:rPr>
        <w:t xml:space="preserve">Kusters DM, Caceres M, Coll M, Cuffie C, </w:t>
      </w:r>
      <w:proofErr w:type="spellStart"/>
      <w:r w:rsidRPr="001D2ADB">
        <w:rPr>
          <w:rFonts w:ascii="Arial" w:hAnsi="Arial" w:cs="Arial"/>
          <w:color w:val="212121"/>
          <w:shd w:val="clear" w:color="auto" w:fill="FFFFFF"/>
        </w:rPr>
        <w:t>Gagné</w:t>
      </w:r>
      <w:proofErr w:type="spellEnd"/>
      <w:r w:rsidRPr="001D2ADB">
        <w:rPr>
          <w:rFonts w:ascii="Arial" w:hAnsi="Arial" w:cs="Arial"/>
          <w:color w:val="212121"/>
          <w:shd w:val="clear" w:color="auto" w:fill="FFFFFF"/>
        </w:rPr>
        <w:t xml:space="preserve"> C, Jacobson MS, </w:t>
      </w:r>
      <w:proofErr w:type="spellStart"/>
      <w:r w:rsidRPr="001D2ADB">
        <w:rPr>
          <w:rFonts w:ascii="Arial" w:hAnsi="Arial" w:cs="Arial"/>
          <w:color w:val="212121"/>
          <w:shd w:val="clear" w:color="auto" w:fill="FFFFFF"/>
        </w:rPr>
        <w:t>Kwiterovich</w:t>
      </w:r>
      <w:proofErr w:type="spellEnd"/>
      <w:r w:rsidRPr="001D2ADB">
        <w:rPr>
          <w:rFonts w:ascii="Arial" w:hAnsi="Arial" w:cs="Arial"/>
          <w:color w:val="212121"/>
          <w:shd w:val="clear" w:color="auto" w:fill="FFFFFF"/>
        </w:rPr>
        <w:t xml:space="preserve"> PO, Lee R, Lowe RS, </w:t>
      </w:r>
      <w:proofErr w:type="spellStart"/>
      <w:r w:rsidRPr="001D2ADB">
        <w:rPr>
          <w:rFonts w:ascii="Arial" w:hAnsi="Arial" w:cs="Arial"/>
          <w:color w:val="212121"/>
          <w:shd w:val="clear" w:color="auto" w:fill="FFFFFF"/>
        </w:rPr>
        <w:t>Massaad</w:t>
      </w:r>
      <w:proofErr w:type="spellEnd"/>
      <w:r w:rsidRPr="001D2ADB">
        <w:rPr>
          <w:rFonts w:ascii="Arial" w:hAnsi="Arial" w:cs="Arial"/>
          <w:color w:val="212121"/>
          <w:shd w:val="clear" w:color="auto" w:fill="FFFFFF"/>
        </w:rPr>
        <w:t xml:space="preserve"> R, McCrindle BW, </w:t>
      </w:r>
      <w:proofErr w:type="spellStart"/>
      <w:r w:rsidRPr="001D2ADB">
        <w:rPr>
          <w:rFonts w:ascii="Arial" w:hAnsi="Arial" w:cs="Arial"/>
          <w:color w:val="212121"/>
          <w:shd w:val="clear" w:color="auto" w:fill="FFFFFF"/>
        </w:rPr>
        <w:t>Musliner</w:t>
      </w:r>
      <w:proofErr w:type="spellEnd"/>
      <w:r w:rsidRPr="001D2ADB">
        <w:rPr>
          <w:rFonts w:ascii="Arial" w:hAnsi="Arial" w:cs="Arial"/>
          <w:color w:val="212121"/>
          <w:shd w:val="clear" w:color="auto" w:fill="FFFFFF"/>
        </w:rPr>
        <w:t xml:space="preserve"> TA, Triscari J, </w:t>
      </w:r>
      <w:proofErr w:type="spellStart"/>
      <w:r w:rsidRPr="001D2ADB">
        <w:rPr>
          <w:rFonts w:ascii="Arial" w:hAnsi="Arial" w:cs="Arial"/>
          <w:color w:val="212121"/>
          <w:shd w:val="clear" w:color="auto" w:fill="FFFFFF"/>
        </w:rPr>
        <w:t>Kastelein</w:t>
      </w:r>
      <w:proofErr w:type="spellEnd"/>
      <w:r w:rsidRPr="001D2ADB">
        <w:rPr>
          <w:rFonts w:ascii="Arial" w:hAnsi="Arial" w:cs="Arial"/>
          <w:color w:val="212121"/>
          <w:shd w:val="clear" w:color="auto" w:fill="FFFFFF"/>
        </w:rPr>
        <w:t xml:space="preserve"> JJ. Efficacy and safety of ezetimibe monotherapy in children with heterozygous familial or nonfamilial hypercholesterolemia. J </w:t>
      </w:r>
      <w:proofErr w:type="spellStart"/>
      <w:r w:rsidRPr="001D2ADB">
        <w:rPr>
          <w:rFonts w:ascii="Arial" w:hAnsi="Arial" w:cs="Arial"/>
          <w:color w:val="212121"/>
          <w:shd w:val="clear" w:color="auto" w:fill="FFFFFF"/>
        </w:rPr>
        <w:t>Pediatr</w:t>
      </w:r>
      <w:proofErr w:type="spellEnd"/>
      <w:r w:rsidRPr="001D2ADB">
        <w:rPr>
          <w:rFonts w:ascii="Arial" w:hAnsi="Arial" w:cs="Arial"/>
          <w:color w:val="212121"/>
          <w:shd w:val="clear" w:color="auto" w:fill="FFFFFF"/>
        </w:rPr>
        <w:t>. 2015 Jun;166(6):1377-</w:t>
      </w:r>
      <w:proofErr w:type="gramStart"/>
      <w:r w:rsidRPr="001D2ADB">
        <w:rPr>
          <w:rFonts w:ascii="Arial" w:hAnsi="Arial" w:cs="Arial"/>
          <w:color w:val="212121"/>
          <w:shd w:val="clear" w:color="auto" w:fill="FFFFFF"/>
        </w:rPr>
        <w:t>84.e</w:t>
      </w:r>
      <w:proofErr w:type="gramEnd"/>
      <w:r w:rsidRPr="001D2ADB">
        <w:rPr>
          <w:rFonts w:ascii="Arial" w:hAnsi="Arial" w:cs="Arial"/>
          <w:color w:val="212121"/>
          <w:shd w:val="clear" w:color="auto" w:fill="FFFFFF"/>
        </w:rPr>
        <w:t xml:space="preserve">1-3. </w:t>
      </w:r>
      <w:proofErr w:type="spellStart"/>
      <w:r w:rsidRPr="001D2ADB">
        <w:rPr>
          <w:rFonts w:ascii="Arial" w:hAnsi="Arial" w:cs="Arial"/>
          <w:color w:val="212121"/>
          <w:shd w:val="clear" w:color="auto" w:fill="FFFFFF"/>
        </w:rPr>
        <w:t>doi</w:t>
      </w:r>
      <w:proofErr w:type="spellEnd"/>
      <w:r w:rsidRPr="001D2ADB">
        <w:rPr>
          <w:rFonts w:ascii="Arial" w:hAnsi="Arial" w:cs="Arial"/>
          <w:color w:val="212121"/>
          <w:shd w:val="clear" w:color="auto" w:fill="FFFFFF"/>
        </w:rPr>
        <w:t xml:space="preserve">: 10.1016/j.jpeds.2015.02.043. </w:t>
      </w:r>
      <w:proofErr w:type="spellStart"/>
      <w:r w:rsidRPr="001D2ADB">
        <w:rPr>
          <w:rFonts w:ascii="Arial" w:hAnsi="Arial" w:cs="Arial"/>
          <w:color w:val="212121"/>
          <w:shd w:val="clear" w:color="auto" w:fill="FFFFFF"/>
        </w:rPr>
        <w:t>Epub</w:t>
      </w:r>
      <w:proofErr w:type="spellEnd"/>
      <w:r w:rsidRPr="001D2ADB">
        <w:rPr>
          <w:rFonts w:ascii="Arial" w:hAnsi="Arial" w:cs="Arial"/>
          <w:color w:val="212121"/>
          <w:shd w:val="clear" w:color="auto" w:fill="FFFFFF"/>
        </w:rPr>
        <w:t xml:space="preserve"> 2015 Apr 1. PMID: 25841542.</w:t>
      </w:r>
    </w:p>
    <w:p w14:paraId="618FF089" w14:textId="77777777" w:rsidR="002B400E" w:rsidRPr="001D2ADB" w:rsidRDefault="0062058E" w:rsidP="001D2ADB">
      <w:pPr>
        <w:spacing w:after="0"/>
        <w:ind w:left="576" w:hanging="576"/>
        <w:rPr>
          <w:rFonts w:ascii="Arial" w:hAnsi="Arial" w:cs="Arial"/>
        </w:rPr>
      </w:pPr>
      <w:r w:rsidRPr="001D2ADB">
        <w:rPr>
          <w:rFonts w:ascii="Arial" w:hAnsi="Arial" w:cs="Arial"/>
        </w:rPr>
        <w:t>7</w:t>
      </w:r>
      <w:r w:rsidR="00CC5A11" w:rsidRPr="001D2ADB">
        <w:rPr>
          <w:rFonts w:ascii="Arial" w:hAnsi="Arial" w:cs="Arial"/>
        </w:rPr>
        <w:t>4</w:t>
      </w:r>
      <w:r w:rsidRPr="001D2ADB">
        <w:rPr>
          <w:rFonts w:ascii="Arial" w:hAnsi="Arial" w:cs="Arial"/>
        </w:rPr>
        <w:t>.</w:t>
      </w:r>
      <w:r w:rsidRPr="001D2ADB">
        <w:rPr>
          <w:rFonts w:ascii="Arial" w:hAnsi="Arial" w:cs="Arial"/>
          <w:color w:val="212121"/>
          <w:shd w:val="clear" w:color="auto" w:fill="FFFFFF"/>
        </w:rPr>
        <w:tab/>
        <w:t xml:space="preserve">Hajar R. PCSK 9 Inhibitors: A Short History and a New Era of Lipid-lowering Therapy. Heart Views. 2019 Apr-Jun;20(2):74-75. </w:t>
      </w:r>
      <w:proofErr w:type="spellStart"/>
      <w:r w:rsidRPr="001D2ADB">
        <w:rPr>
          <w:rFonts w:ascii="Arial" w:hAnsi="Arial" w:cs="Arial"/>
          <w:color w:val="212121"/>
          <w:shd w:val="clear" w:color="auto" w:fill="FFFFFF"/>
        </w:rPr>
        <w:t>doi</w:t>
      </w:r>
      <w:proofErr w:type="spellEnd"/>
      <w:r w:rsidRPr="001D2ADB">
        <w:rPr>
          <w:rFonts w:ascii="Arial" w:hAnsi="Arial" w:cs="Arial"/>
          <w:color w:val="212121"/>
          <w:shd w:val="clear" w:color="auto" w:fill="FFFFFF"/>
        </w:rPr>
        <w:t>: 10.4103/HEARTVIEWS.HEARTVIEWS_59_19. PMID: 31462965; PMCID: PMC6686613.</w:t>
      </w:r>
    </w:p>
    <w:p w14:paraId="36D2EC35" w14:textId="77777777" w:rsidR="002B400E" w:rsidRPr="001D2ADB" w:rsidRDefault="00DE1792" w:rsidP="001D2ADB">
      <w:pPr>
        <w:spacing w:after="0"/>
        <w:ind w:left="576" w:hanging="576"/>
        <w:rPr>
          <w:rFonts w:ascii="Arial" w:hAnsi="Arial" w:cs="Arial"/>
        </w:rPr>
      </w:pPr>
      <w:r w:rsidRPr="001D2ADB">
        <w:rPr>
          <w:rFonts w:ascii="Arial" w:hAnsi="Arial" w:cs="Arial"/>
        </w:rPr>
        <w:lastRenderedPageBreak/>
        <w:t>7</w:t>
      </w:r>
      <w:r w:rsidR="00CC5A11" w:rsidRPr="001D2ADB">
        <w:rPr>
          <w:rFonts w:ascii="Arial" w:hAnsi="Arial" w:cs="Arial"/>
        </w:rPr>
        <w:t>5</w:t>
      </w:r>
      <w:r w:rsidRPr="001D2ADB">
        <w:rPr>
          <w:rFonts w:ascii="Arial" w:hAnsi="Arial" w:cs="Arial"/>
        </w:rPr>
        <w:t>.</w:t>
      </w:r>
      <w:r w:rsidR="002B400E" w:rsidRPr="001D2ADB">
        <w:rPr>
          <w:rFonts w:ascii="Arial" w:hAnsi="Arial" w:cs="Arial"/>
        </w:rPr>
        <w:tab/>
      </w:r>
      <w:r w:rsidRPr="001D2ADB">
        <w:rPr>
          <w:rFonts w:ascii="Arial" w:hAnsi="Arial" w:cs="Arial"/>
          <w:color w:val="212121"/>
          <w:shd w:val="clear" w:color="auto" w:fill="FFFFFF"/>
        </w:rPr>
        <w:t>Zhao Z, Du S, Shen S, Luo P, Ding S, Wang G, Wang L. Comparative efficacy and safety of lipid-lowering agents in patients with hypercholesterolemia: A frequentist network meta-analysis. Medicine (Baltimore). 2019 Feb;98(6</w:t>
      </w:r>
      <w:proofErr w:type="gramStart"/>
      <w:r w:rsidRPr="001D2ADB">
        <w:rPr>
          <w:rFonts w:ascii="Arial" w:hAnsi="Arial" w:cs="Arial"/>
          <w:color w:val="212121"/>
          <w:shd w:val="clear" w:color="auto" w:fill="FFFFFF"/>
        </w:rPr>
        <w:t>):e</w:t>
      </w:r>
      <w:proofErr w:type="gramEnd"/>
      <w:r w:rsidRPr="001D2ADB">
        <w:rPr>
          <w:rFonts w:ascii="Arial" w:hAnsi="Arial" w:cs="Arial"/>
          <w:color w:val="212121"/>
          <w:shd w:val="clear" w:color="auto" w:fill="FFFFFF"/>
        </w:rPr>
        <w:t xml:space="preserve">14400. </w:t>
      </w:r>
      <w:proofErr w:type="spellStart"/>
      <w:r w:rsidRPr="001D2ADB">
        <w:rPr>
          <w:rFonts w:ascii="Arial" w:hAnsi="Arial" w:cs="Arial"/>
          <w:color w:val="212121"/>
          <w:shd w:val="clear" w:color="auto" w:fill="FFFFFF"/>
        </w:rPr>
        <w:t>doi</w:t>
      </w:r>
      <w:proofErr w:type="spellEnd"/>
      <w:r w:rsidRPr="001D2ADB">
        <w:rPr>
          <w:rFonts w:ascii="Arial" w:hAnsi="Arial" w:cs="Arial"/>
          <w:color w:val="212121"/>
          <w:shd w:val="clear" w:color="auto" w:fill="FFFFFF"/>
        </w:rPr>
        <w:t>: 10.1097/MD.0000000000014400. PMID: 30732185; PMCID: PMC6380691.</w:t>
      </w:r>
    </w:p>
    <w:p w14:paraId="4C1C3513" w14:textId="77777777" w:rsidR="002B400E" w:rsidRPr="001D2ADB" w:rsidRDefault="002B400E" w:rsidP="001D2ADB">
      <w:pPr>
        <w:spacing w:after="0"/>
        <w:ind w:left="576" w:hanging="576"/>
        <w:rPr>
          <w:rFonts w:ascii="Arial" w:hAnsi="Arial" w:cs="Arial"/>
        </w:rPr>
      </w:pPr>
      <w:r w:rsidRPr="001D2ADB">
        <w:rPr>
          <w:rFonts w:ascii="Arial" w:hAnsi="Arial" w:cs="Arial"/>
        </w:rPr>
        <w:t>76.</w:t>
      </w:r>
      <w:r w:rsidRPr="001D2ADB">
        <w:rPr>
          <w:rFonts w:ascii="Arial" w:hAnsi="Arial" w:cs="Arial"/>
        </w:rPr>
        <w:tab/>
      </w:r>
      <w:r w:rsidR="00DE1792" w:rsidRPr="001D2ADB">
        <w:rPr>
          <w:rFonts w:ascii="Arial" w:hAnsi="Arial" w:cs="Arial"/>
        </w:rPr>
        <w:t>Repatha product monograph. Amgen. Thousand Oaks, California. 2017.</w:t>
      </w:r>
    </w:p>
    <w:p w14:paraId="67F42F90" w14:textId="3DFF2F94" w:rsidR="00DE1792" w:rsidRPr="001D2ADB" w:rsidRDefault="002B400E" w:rsidP="001D2ADB">
      <w:pPr>
        <w:spacing w:after="0"/>
        <w:ind w:left="576" w:hanging="576"/>
        <w:rPr>
          <w:rFonts w:ascii="Arial" w:hAnsi="Arial" w:cs="Arial"/>
        </w:rPr>
      </w:pPr>
      <w:r w:rsidRPr="001D2ADB">
        <w:rPr>
          <w:rFonts w:ascii="Arial" w:hAnsi="Arial" w:cs="Arial"/>
          <w:color w:val="212121"/>
          <w:shd w:val="clear" w:color="auto" w:fill="FFFFFF"/>
        </w:rPr>
        <w:t>77.</w:t>
      </w:r>
      <w:r w:rsidRPr="001D2ADB">
        <w:rPr>
          <w:rFonts w:ascii="Arial" w:hAnsi="Arial" w:cs="Arial"/>
          <w:color w:val="212121"/>
          <w:shd w:val="clear" w:color="auto" w:fill="FFFFFF"/>
        </w:rPr>
        <w:tab/>
      </w:r>
      <w:r w:rsidR="00DE1792" w:rsidRPr="001D2ADB">
        <w:rPr>
          <w:rFonts w:ascii="Arial" w:hAnsi="Arial" w:cs="Arial"/>
          <w:color w:val="212121"/>
          <w:shd w:val="clear" w:color="auto" w:fill="FFFFFF"/>
        </w:rPr>
        <w:t xml:space="preserve">Santos RD, </w:t>
      </w:r>
      <w:proofErr w:type="spellStart"/>
      <w:r w:rsidR="00DE1792" w:rsidRPr="001D2ADB">
        <w:rPr>
          <w:rFonts w:ascii="Arial" w:hAnsi="Arial" w:cs="Arial"/>
          <w:color w:val="212121"/>
          <w:shd w:val="clear" w:color="auto" w:fill="FFFFFF"/>
        </w:rPr>
        <w:t>Ruzza</w:t>
      </w:r>
      <w:proofErr w:type="spellEnd"/>
      <w:r w:rsidR="00DE1792" w:rsidRPr="001D2ADB">
        <w:rPr>
          <w:rFonts w:ascii="Arial" w:hAnsi="Arial" w:cs="Arial"/>
          <w:color w:val="212121"/>
          <w:shd w:val="clear" w:color="auto" w:fill="FFFFFF"/>
        </w:rPr>
        <w:t xml:space="preserve"> A, </w:t>
      </w:r>
      <w:proofErr w:type="spellStart"/>
      <w:r w:rsidR="00DE1792" w:rsidRPr="001D2ADB">
        <w:rPr>
          <w:rFonts w:ascii="Arial" w:hAnsi="Arial" w:cs="Arial"/>
          <w:color w:val="212121"/>
          <w:shd w:val="clear" w:color="auto" w:fill="FFFFFF"/>
        </w:rPr>
        <w:t>Hovingh</w:t>
      </w:r>
      <w:proofErr w:type="spellEnd"/>
      <w:r w:rsidR="00DE1792" w:rsidRPr="001D2ADB">
        <w:rPr>
          <w:rFonts w:ascii="Arial" w:hAnsi="Arial" w:cs="Arial"/>
          <w:color w:val="212121"/>
          <w:shd w:val="clear" w:color="auto" w:fill="FFFFFF"/>
        </w:rPr>
        <w:t xml:space="preserve"> GK, Wiegman A, Mach F, Kurtz CE, Hamer A, Bridges I, </w:t>
      </w:r>
      <w:proofErr w:type="spellStart"/>
      <w:r w:rsidR="00DE1792" w:rsidRPr="001D2ADB">
        <w:rPr>
          <w:rFonts w:ascii="Arial" w:hAnsi="Arial" w:cs="Arial"/>
          <w:color w:val="212121"/>
          <w:shd w:val="clear" w:color="auto" w:fill="FFFFFF"/>
        </w:rPr>
        <w:t>Bartuli</w:t>
      </w:r>
      <w:proofErr w:type="spellEnd"/>
      <w:r w:rsidR="00DE1792" w:rsidRPr="001D2ADB">
        <w:rPr>
          <w:rFonts w:ascii="Arial" w:hAnsi="Arial" w:cs="Arial"/>
          <w:color w:val="212121"/>
          <w:shd w:val="clear" w:color="auto" w:fill="FFFFFF"/>
        </w:rPr>
        <w:t xml:space="preserve"> A, Bergeron J, Szamosi T, Santra S, Stefanutti C, Descamps OS, Greber-Platzer S, </w:t>
      </w:r>
      <w:proofErr w:type="spellStart"/>
      <w:r w:rsidR="00DE1792" w:rsidRPr="001D2ADB">
        <w:rPr>
          <w:rFonts w:ascii="Arial" w:hAnsi="Arial" w:cs="Arial"/>
          <w:color w:val="212121"/>
          <w:shd w:val="clear" w:color="auto" w:fill="FFFFFF"/>
        </w:rPr>
        <w:t>Luirink</w:t>
      </w:r>
      <w:proofErr w:type="spellEnd"/>
      <w:r w:rsidR="00DE1792" w:rsidRPr="001D2ADB">
        <w:rPr>
          <w:rFonts w:ascii="Arial" w:hAnsi="Arial" w:cs="Arial"/>
          <w:color w:val="212121"/>
          <w:shd w:val="clear" w:color="auto" w:fill="FFFFFF"/>
        </w:rPr>
        <w:t xml:space="preserve"> I, </w:t>
      </w:r>
      <w:proofErr w:type="spellStart"/>
      <w:r w:rsidR="00DE1792" w:rsidRPr="001D2ADB">
        <w:rPr>
          <w:rFonts w:ascii="Arial" w:hAnsi="Arial" w:cs="Arial"/>
          <w:color w:val="212121"/>
          <w:shd w:val="clear" w:color="auto" w:fill="FFFFFF"/>
        </w:rPr>
        <w:t>Kastelein</w:t>
      </w:r>
      <w:proofErr w:type="spellEnd"/>
      <w:r w:rsidR="00DE1792" w:rsidRPr="001D2ADB">
        <w:rPr>
          <w:rFonts w:ascii="Arial" w:hAnsi="Arial" w:cs="Arial"/>
          <w:color w:val="212121"/>
          <w:shd w:val="clear" w:color="auto" w:fill="FFFFFF"/>
        </w:rPr>
        <w:t xml:space="preserve"> JJP, Gaudet D; HAUSER-RCT Investigators. Evolocumab in Pediatric Heterozygous Familial Hypercholesterolemia. N Engl J Med. 2020 Oct 1;383(14):1317-1327. </w:t>
      </w:r>
      <w:proofErr w:type="spellStart"/>
      <w:r w:rsidR="00DE1792" w:rsidRPr="001D2ADB">
        <w:rPr>
          <w:rFonts w:ascii="Arial" w:hAnsi="Arial" w:cs="Arial"/>
          <w:color w:val="212121"/>
          <w:shd w:val="clear" w:color="auto" w:fill="FFFFFF"/>
        </w:rPr>
        <w:t>doi</w:t>
      </w:r>
      <w:proofErr w:type="spellEnd"/>
      <w:r w:rsidR="00DE1792" w:rsidRPr="001D2ADB">
        <w:rPr>
          <w:rFonts w:ascii="Arial" w:hAnsi="Arial" w:cs="Arial"/>
          <w:color w:val="212121"/>
          <w:shd w:val="clear" w:color="auto" w:fill="FFFFFF"/>
        </w:rPr>
        <w:t xml:space="preserve">: 10.1056/NEJMoa2019910. </w:t>
      </w:r>
      <w:proofErr w:type="spellStart"/>
      <w:r w:rsidR="00DE1792" w:rsidRPr="001D2ADB">
        <w:rPr>
          <w:rFonts w:ascii="Arial" w:hAnsi="Arial" w:cs="Arial"/>
          <w:color w:val="212121"/>
          <w:shd w:val="clear" w:color="auto" w:fill="FFFFFF"/>
        </w:rPr>
        <w:t>Epub</w:t>
      </w:r>
      <w:proofErr w:type="spellEnd"/>
      <w:r w:rsidR="00DE1792" w:rsidRPr="001D2ADB">
        <w:rPr>
          <w:rFonts w:ascii="Arial" w:hAnsi="Arial" w:cs="Arial"/>
          <w:color w:val="212121"/>
          <w:shd w:val="clear" w:color="auto" w:fill="FFFFFF"/>
        </w:rPr>
        <w:t xml:space="preserve"> 2020 Aug 29. PMID: 32865373.</w:t>
      </w:r>
    </w:p>
    <w:p w14:paraId="1FDCAC24" w14:textId="54CC0E6A" w:rsidR="00AC596C" w:rsidRPr="001D2ADB" w:rsidRDefault="00DE1792" w:rsidP="001D2ADB">
      <w:pPr>
        <w:spacing w:after="0"/>
        <w:ind w:left="576" w:hanging="576"/>
        <w:rPr>
          <w:rFonts w:ascii="Arial" w:hAnsi="Arial" w:cs="Arial"/>
        </w:rPr>
      </w:pPr>
      <w:r w:rsidRPr="001D2ADB">
        <w:rPr>
          <w:rFonts w:ascii="Arial" w:hAnsi="Arial" w:cs="Arial"/>
        </w:rPr>
        <w:t>7</w:t>
      </w:r>
      <w:r w:rsidR="00CC5A11" w:rsidRPr="001D2ADB">
        <w:rPr>
          <w:rFonts w:ascii="Arial" w:hAnsi="Arial" w:cs="Arial"/>
        </w:rPr>
        <w:t>8</w:t>
      </w:r>
      <w:r w:rsidR="002B400E" w:rsidRPr="001D2ADB">
        <w:rPr>
          <w:rFonts w:ascii="Arial" w:hAnsi="Arial" w:cs="Arial"/>
        </w:rPr>
        <w:t>.</w:t>
      </w:r>
      <w:r w:rsidR="002B400E" w:rsidRPr="001D2ADB">
        <w:rPr>
          <w:rFonts w:ascii="Arial" w:hAnsi="Arial" w:cs="Arial"/>
        </w:rPr>
        <w:tab/>
      </w:r>
      <w:r w:rsidRPr="001D2ADB">
        <w:rPr>
          <w:rFonts w:ascii="Arial" w:hAnsi="Arial" w:cs="Arial"/>
          <w:color w:val="212121"/>
          <w:shd w:val="clear" w:color="auto" w:fill="FFFFFF"/>
        </w:rPr>
        <w:t xml:space="preserve">Santos RD, </w:t>
      </w:r>
      <w:proofErr w:type="spellStart"/>
      <w:r w:rsidRPr="001D2ADB">
        <w:rPr>
          <w:rFonts w:ascii="Arial" w:hAnsi="Arial" w:cs="Arial"/>
          <w:color w:val="212121"/>
          <w:shd w:val="clear" w:color="auto" w:fill="FFFFFF"/>
        </w:rPr>
        <w:t>Ruzza</w:t>
      </w:r>
      <w:proofErr w:type="spellEnd"/>
      <w:r w:rsidRPr="001D2ADB">
        <w:rPr>
          <w:rFonts w:ascii="Arial" w:hAnsi="Arial" w:cs="Arial"/>
          <w:color w:val="212121"/>
          <w:shd w:val="clear" w:color="auto" w:fill="FFFFFF"/>
        </w:rPr>
        <w:t xml:space="preserve"> A, </w:t>
      </w:r>
      <w:proofErr w:type="spellStart"/>
      <w:r w:rsidRPr="001D2ADB">
        <w:rPr>
          <w:rFonts w:ascii="Arial" w:hAnsi="Arial" w:cs="Arial"/>
          <w:color w:val="212121"/>
          <w:shd w:val="clear" w:color="auto" w:fill="FFFFFF"/>
        </w:rPr>
        <w:t>Hovingh</w:t>
      </w:r>
      <w:proofErr w:type="spellEnd"/>
      <w:r w:rsidRPr="001D2ADB">
        <w:rPr>
          <w:rFonts w:ascii="Arial" w:hAnsi="Arial" w:cs="Arial"/>
          <w:color w:val="212121"/>
          <w:shd w:val="clear" w:color="auto" w:fill="FFFFFF"/>
        </w:rPr>
        <w:t xml:space="preserve"> GK, Stefanutti C, Mach F, Descamps OS, Bergeron J, Wang B, </w:t>
      </w:r>
      <w:proofErr w:type="spellStart"/>
      <w:r w:rsidRPr="001D2ADB">
        <w:rPr>
          <w:rFonts w:ascii="Arial" w:hAnsi="Arial" w:cs="Arial"/>
          <w:color w:val="212121"/>
          <w:shd w:val="clear" w:color="auto" w:fill="FFFFFF"/>
        </w:rPr>
        <w:t>Bartuli</w:t>
      </w:r>
      <w:proofErr w:type="spellEnd"/>
      <w:r w:rsidRPr="001D2ADB">
        <w:rPr>
          <w:rFonts w:ascii="Arial" w:hAnsi="Arial" w:cs="Arial"/>
          <w:color w:val="212121"/>
          <w:shd w:val="clear" w:color="auto" w:fill="FFFFFF"/>
        </w:rPr>
        <w:t xml:space="preserve"> A, </w:t>
      </w:r>
      <w:proofErr w:type="spellStart"/>
      <w:r w:rsidRPr="001D2ADB">
        <w:rPr>
          <w:rFonts w:ascii="Arial" w:hAnsi="Arial" w:cs="Arial"/>
          <w:color w:val="212121"/>
          <w:shd w:val="clear" w:color="auto" w:fill="FFFFFF"/>
        </w:rPr>
        <w:t>Buonuomo</w:t>
      </w:r>
      <w:proofErr w:type="spellEnd"/>
      <w:r w:rsidRPr="001D2ADB">
        <w:rPr>
          <w:rFonts w:ascii="Arial" w:hAnsi="Arial" w:cs="Arial"/>
          <w:color w:val="212121"/>
          <w:shd w:val="clear" w:color="auto" w:fill="FFFFFF"/>
        </w:rPr>
        <w:t xml:space="preserve"> PS, Greber-Platzer S, </w:t>
      </w:r>
      <w:proofErr w:type="spellStart"/>
      <w:r w:rsidRPr="001D2ADB">
        <w:rPr>
          <w:rFonts w:ascii="Arial" w:hAnsi="Arial" w:cs="Arial"/>
          <w:color w:val="212121"/>
          <w:shd w:val="clear" w:color="auto" w:fill="FFFFFF"/>
        </w:rPr>
        <w:t>Luirink</w:t>
      </w:r>
      <w:proofErr w:type="spellEnd"/>
      <w:r w:rsidRPr="001D2ADB">
        <w:rPr>
          <w:rFonts w:ascii="Arial" w:hAnsi="Arial" w:cs="Arial"/>
          <w:color w:val="212121"/>
          <w:shd w:val="clear" w:color="auto" w:fill="FFFFFF"/>
        </w:rPr>
        <w:t xml:space="preserve"> I, Bhatia AK, Raal FJ, </w:t>
      </w:r>
      <w:proofErr w:type="spellStart"/>
      <w:r w:rsidRPr="001D2ADB">
        <w:rPr>
          <w:rFonts w:ascii="Arial" w:hAnsi="Arial" w:cs="Arial"/>
          <w:color w:val="212121"/>
          <w:shd w:val="clear" w:color="auto" w:fill="FFFFFF"/>
        </w:rPr>
        <w:t>Kastelein</w:t>
      </w:r>
      <w:proofErr w:type="spellEnd"/>
      <w:r w:rsidRPr="001D2ADB">
        <w:rPr>
          <w:rFonts w:ascii="Arial" w:hAnsi="Arial" w:cs="Arial"/>
          <w:color w:val="212121"/>
          <w:shd w:val="clear" w:color="auto" w:fill="FFFFFF"/>
        </w:rPr>
        <w:t xml:space="preserve"> JJP, Wiegman A, Gaudet D. </w:t>
      </w:r>
      <w:proofErr w:type="spellStart"/>
      <w:r w:rsidRPr="001D2ADB">
        <w:rPr>
          <w:rFonts w:ascii="Arial" w:hAnsi="Arial" w:cs="Arial"/>
          <w:color w:val="212121"/>
          <w:shd w:val="clear" w:color="auto" w:fill="FFFFFF"/>
        </w:rPr>
        <w:t>Paediatric</w:t>
      </w:r>
      <w:proofErr w:type="spellEnd"/>
      <w:r w:rsidRPr="001D2ADB">
        <w:rPr>
          <w:rFonts w:ascii="Arial" w:hAnsi="Arial" w:cs="Arial"/>
          <w:color w:val="212121"/>
          <w:shd w:val="clear" w:color="auto" w:fill="FFFFFF"/>
        </w:rPr>
        <w:t xml:space="preserve"> patients with heterozygous familial </w:t>
      </w:r>
      <w:proofErr w:type="spellStart"/>
      <w:r w:rsidRPr="001D2ADB">
        <w:rPr>
          <w:rFonts w:ascii="Arial" w:hAnsi="Arial" w:cs="Arial"/>
          <w:color w:val="212121"/>
          <w:shd w:val="clear" w:color="auto" w:fill="FFFFFF"/>
        </w:rPr>
        <w:t>hypercholesterolaemia</w:t>
      </w:r>
      <w:proofErr w:type="spellEnd"/>
      <w:r w:rsidRPr="001D2ADB">
        <w:rPr>
          <w:rFonts w:ascii="Arial" w:hAnsi="Arial" w:cs="Arial"/>
          <w:color w:val="212121"/>
          <w:shd w:val="clear" w:color="auto" w:fill="FFFFFF"/>
        </w:rPr>
        <w:t xml:space="preserve"> treated with evolocumab for 80 weeks (HAUSER-OLE): a single-arm, </w:t>
      </w:r>
      <w:proofErr w:type="spellStart"/>
      <w:r w:rsidRPr="001D2ADB">
        <w:rPr>
          <w:rFonts w:ascii="Arial" w:hAnsi="Arial" w:cs="Arial"/>
          <w:color w:val="212121"/>
          <w:shd w:val="clear" w:color="auto" w:fill="FFFFFF"/>
        </w:rPr>
        <w:t>multicentre</w:t>
      </w:r>
      <w:proofErr w:type="spellEnd"/>
      <w:r w:rsidRPr="001D2ADB">
        <w:rPr>
          <w:rFonts w:ascii="Arial" w:hAnsi="Arial" w:cs="Arial"/>
          <w:color w:val="212121"/>
          <w:shd w:val="clear" w:color="auto" w:fill="FFFFFF"/>
        </w:rPr>
        <w:t xml:space="preserve">, open-label extension of HAUSER-RCT. Lancet Diabetes Endocrinol. 2022 Oct;10(10):732-740. </w:t>
      </w:r>
      <w:proofErr w:type="spellStart"/>
      <w:r w:rsidRPr="001D2ADB">
        <w:rPr>
          <w:rFonts w:ascii="Arial" w:hAnsi="Arial" w:cs="Arial"/>
          <w:color w:val="212121"/>
          <w:shd w:val="clear" w:color="auto" w:fill="FFFFFF"/>
        </w:rPr>
        <w:t>doi</w:t>
      </w:r>
      <w:proofErr w:type="spellEnd"/>
      <w:r w:rsidRPr="001D2ADB">
        <w:rPr>
          <w:rFonts w:ascii="Arial" w:hAnsi="Arial" w:cs="Arial"/>
          <w:color w:val="212121"/>
          <w:shd w:val="clear" w:color="auto" w:fill="FFFFFF"/>
        </w:rPr>
        <w:t xml:space="preserve">: 10.1016/S2213-8587(22)00221-2. </w:t>
      </w:r>
      <w:proofErr w:type="spellStart"/>
      <w:r w:rsidRPr="001D2ADB">
        <w:rPr>
          <w:rFonts w:ascii="Arial" w:hAnsi="Arial" w:cs="Arial"/>
          <w:color w:val="212121"/>
          <w:shd w:val="clear" w:color="auto" w:fill="FFFFFF"/>
        </w:rPr>
        <w:t>Epub</w:t>
      </w:r>
      <w:proofErr w:type="spellEnd"/>
      <w:r w:rsidRPr="001D2ADB">
        <w:rPr>
          <w:rFonts w:ascii="Arial" w:hAnsi="Arial" w:cs="Arial"/>
          <w:color w:val="212121"/>
          <w:shd w:val="clear" w:color="auto" w:fill="FFFFFF"/>
        </w:rPr>
        <w:t xml:space="preserve"> 2022 Sep 5. PMID: 36075246.</w:t>
      </w:r>
    </w:p>
    <w:p w14:paraId="34E40158" w14:textId="77777777" w:rsidR="00AC596C" w:rsidRPr="001D2ADB" w:rsidRDefault="00AC596C" w:rsidP="001D2ADB">
      <w:pPr>
        <w:spacing w:after="0"/>
        <w:ind w:left="576" w:hanging="576"/>
        <w:rPr>
          <w:rFonts w:ascii="Arial" w:hAnsi="Arial" w:cs="Arial"/>
        </w:rPr>
      </w:pPr>
      <w:r w:rsidRPr="001D2ADB">
        <w:rPr>
          <w:rFonts w:ascii="Arial" w:hAnsi="Arial" w:cs="Arial"/>
        </w:rPr>
        <w:t>79.</w:t>
      </w:r>
      <w:r w:rsidRPr="001D2ADB">
        <w:rPr>
          <w:rFonts w:ascii="Arial" w:hAnsi="Arial" w:cs="Arial"/>
        </w:rPr>
        <w:tab/>
        <w:t>Praluent product monograph. Regeneron. Tarrytown, NY. 2021.</w:t>
      </w:r>
    </w:p>
    <w:p w14:paraId="4C4112DE" w14:textId="21D89708" w:rsidR="00DE1792" w:rsidRPr="001D2ADB" w:rsidRDefault="00AC596C" w:rsidP="001D2ADB">
      <w:pPr>
        <w:spacing w:after="0"/>
        <w:ind w:left="576" w:hanging="576"/>
        <w:rPr>
          <w:rFonts w:ascii="Arial" w:hAnsi="Arial" w:cs="Arial"/>
        </w:rPr>
      </w:pPr>
      <w:r w:rsidRPr="001D2ADB">
        <w:rPr>
          <w:rFonts w:ascii="Arial" w:hAnsi="Arial" w:cs="Arial"/>
          <w:color w:val="212121"/>
          <w:shd w:val="clear" w:color="auto" w:fill="FFFFFF"/>
        </w:rPr>
        <w:t>80.</w:t>
      </w:r>
      <w:r w:rsidRPr="001D2ADB">
        <w:rPr>
          <w:rFonts w:ascii="Arial" w:hAnsi="Arial" w:cs="Arial"/>
          <w:color w:val="212121"/>
          <w:shd w:val="clear" w:color="auto" w:fill="FFFFFF"/>
        </w:rPr>
        <w:tab/>
      </w:r>
      <w:r w:rsidR="00DE1792" w:rsidRPr="001D2ADB">
        <w:rPr>
          <w:rFonts w:ascii="Arial" w:hAnsi="Arial" w:cs="Arial"/>
          <w:color w:val="212121"/>
          <w:shd w:val="clear" w:color="auto" w:fill="FFFFFF"/>
        </w:rPr>
        <w:t xml:space="preserve">Bruckert E, Caprio S, Wiegman A, </w:t>
      </w:r>
      <w:proofErr w:type="spellStart"/>
      <w:r w:rsidR="00DE1792" w:rsidRPr="001D2ADB">
        <w:rPr>
          <w:rFonts w:ascii="Arial" w:hAnsi="Arial" w:cs="Arial"/>
          <w:color w:val="212121"/>
          <w:shd w:val="clear" w:color="auto" w:fill="FFFFFF"/>
        </w:rPr>
        <w:t>Charng</w:t>
      </w:r>
      <w:proofErr w:type="spellEnd"/>
      <w:r w:rsidR="00DE1792" w:rsidRPr="001D2ADB">
        <w:rPr>
          <w:rFonts w:ascii="Arial" w:hAnsi="Arial" w:cs="Arial"/>
          <w:color w:val="212121"/>
          <w:shd w:val="clear" w:color="auto" w:fill="FFFFFF"/>
        </w:rPr>
        <w:t xml:space="preserve"> MJ, Zárate-Morales CA, Baccara-Dinet MT, Manvelian G, </w:t>
      </w:r>
      <w:proofErr w:type="spellStart"/>
      <w:r w:rsidR="00DE1792" w:rsidRPr="001D2ADB">
        <w:rPr>
          <w:rFonts w:ascii="Arial" w:hAnsi="Arial" w:cs="Arial"/>
          <w:color w:val="212121"/>
          <w:shd w:val="clear" w:color="auto" w:fill="FFFFFF"/>
        </w:rPr>
        <w:t>Ourliac</w:t>
      </w:r>
      <w:proofErr w:type="spellEnd"/>
      <w:r w:rsidR="00DE1792" w:rsidRPr="001D2ADB">
        <w:rPr>
          <w:rFonts w:ascii="Arial" w:hAnsi="Arial" w:cs="Arial"/>
          <w:color w:val="212121"/>
          <w:shd w:val="clear" w:color="auto" w:fill="FFFFFF"/>
        </w:rPr>
        <w:t xml:space="preserve"> A, </w:t>
      </w:r>
      <w:proofErr w:type="spellStart"/>
      <w:r w:rsidR="00DE1792" w:rsidRPr="001D2ADB">
        <w:rPr>
          <w:rFonts w:ascii="Arial" w:hAnsi="Arial" w:cs="Arial"/>
          <w:color w:val="212121"/>
          <w:shd w:val="clear" w:color="auto" w:fill="FFFFFF"/>
        </w:rPr>
        <w:t>Scemama</w:t>
      </w:r>
      <w:proofErr w:type="spellEnd"/>
      <w:r w:rsidR="00DE1792" w:rsidRPr="001D2ADB">
        <w:rPr>
          <w:rFonts w:ascii="Arial" w:hAnsi="Arial" w:cs="Arial"/>
          <w:color w:val="212121"/>
          <w:shd w:val="clear" w:color="auto" w:fill="FFFFFF"/>
        </w:rPr>
        <w:t xml:space="preserve"> M, Daniels SR. Efficacy and Safety of Alirocumab in Children and Adolescents </w:t>
      </w:r>
      <w:proofErr w:type="gramStart"/>
      <w:r w:rsidR="00DE1792" w:rsidRPr="001D2ADB">
        <w:rPr>
          <w:rFonts w:ascii="Arial" w:hAnsi="Arial" w:cs="Arial"/>
          <w:color w:val="212121"/>
          <w:shd w:val="clear" w:color="auto" w:fill="FFFFFF"/>
        </w:rPr>
        <w:t>With</w:t>
      </w:r>
      <w:proofErr w:type="gramEnd"/>
      <w:r w:rsidR="00DE1792" w:rsidRPr="001D2ADB">
        <w:rPr>
          <w:rFonts w:ascii="Arial" w:hAnsi="Arial" w:cs="Arial"/>
          <w:color w:val="212121"/>
          <w:shd w:val="clear" w:color="auto" w:fill="FFFFFF"/>
        </w:rPr>
        <w:t xml:space="preserve"> Homozygous Familial Hypercholesterolemia: Phase 3, Multinational Open-Label Study. </w:t>
      </w:r>
      <w:proofErr w:type="spellStart"/>
      <w:r w:rsidR="00DE1792" w:rsidRPr="001D2ADB">
        <w:rPr>
          <w:rFonts w:ascii="Arial" w:hAnsi="Arial" w:cs="Arial"/>
          <w:color w:val="212121"/>
          <w:shd w:val="clear" w:color="auto" w:fill="FFFFFF"/>
        </w:rPr>
        <w:t>Arterioscler</w:t>
      </w:r>
      <w:proofErr w:type="spellEnd"/>
      <w:r w:rsidR="00DE1792" w:rsidRPr="001D2ADB">
        <w:rPr>
          <w:rFonts w:ascii="Arial" w:hAnsi="Arial" w:cs="Arial"/>
          <w:color w:val="212121"/>
          <w:shd w:val="clear" w:color="auto" w:fill="FFFFFF"/>
        </w:rPr>
        <w:t xml:space="preserve"> </w:t>
      </w:r>
      <w:proofErr w:type="spellStart"/>
      <w:r w:rsidR="00DE1792" w:rsidRPr="001D2ADB">
        <w:rPr>
          <w:rFonts w:ascii="Arial" w:hAnsi="Arial" w:cs="Arial"/>
          <w:color w:val="212121"/>
          <w:shd w:val="clear" w:color="auto" w:fill="FFFFFF"/>
        </w:rPr>
        <w:t>Thromb</w:t>
      </w:r>
      <w:proofErr w:type="spellEnd"/>
      <w:r w:rsidR="00DE1792" w:rsidRPr="001D2ADB">
        <w:rPr>
          <w:rFonts w:ascii="Arial" w:hAnsi="Arial" w:cs="Arial"/>
          <w:color w:val="212121"/>
          <w:shd w:val="clear" w:color="auto" w:fill="FFFFFF"/>
        </w:rPr>
        <w:t xml:space="preserve"> </w:t>
      </w:r>
      <w:proofErr w:type="spellStart"/>
      <w:r w:rsidR="00DE1792" w:rsidRPr="001D2ADB">
        <w:rPr>
          <w:rFonts w:ascii="Arial" w:hAnsi="Arial" w:cs="Arial"/>
          <w:color w:val="212121"/>
          <w:shd w:val="clear" w:color="auto" w:fill="FFFFFF"/>
        </w:rPr>
        <w:t>Vasc</w:t>
      </w:r>
      <w:proofErr w:type="spellEnd"/>
      <w:r w:rsidR="00DE1792" w:rsidRPr="001D2ADB">
        <w:rPr>
          <w:rFonts w:ascii="Arial" w:hAnsi="Arial" w:cs="Arial"/>
          <w:color w:val="212121"/>
          <w:shd w:val="clear" w:color="auto" w:fill="FFFFFF"/>
        </w:rPr>
        <w:t xml:space="preserve"> Biol. 2022 Dec;42(12):1447-1457. </w:t>
      </w:r>
      <w:proofErr w:type="spellStart"/>
      <w:r w:rsidR="00DE1792" w:rsidRPr="001D2ADB">
        <w:rPr>
          <w:rFonts w:ascii="Arial" w:hAnsi="Arial" w:cs="Arial"/>
          <w:color w:val="212121"/>
          <w:shd w:val="clear" w:color="auto" w:fill="FFFFFF"/>
        </w:rPr>
        <w:t>doi</w:t>
      </w:r>
      <w:proofErr w:type="spellEnd"/>
      <w:r w:rsidR="00DE1792" w:rsidRPr="001D2ADB">
        <w:rPr>
          <w:rFonts w:ascii="Arial" w:hAnsi="Arial" w:cs="Arial"/>
          <w:color w:val="212121"/>
          <w:shd w:val="clear" w:color="auto" w:fill="FFFFFF"/>
        </w:rPr>
        <w:t xml:space="preserve">: 10.1161/ATVBAHA.122.317793. </w:t>
      </w:r>
      <w:proofErr w:type="spellStart"/>
      <w:r w:rsidR="00DE1792" w:rsidRPr="001D2ADB">
        <w:rPr>
          <w:rFonts w:ascii="Arial" w:hAnsi="Arial" w:cs="Arial"/>
          <w:color w:val="212121"/>
          <w:shd w:val="clear" w:color="auto" w:fill="FFFFFF"/>
        </w:rPr>
        <w:t>Epub</w:t>
      </w:r>
      <w:proofErr w:type="spellEnd"/>
      <w:r w:rsidR="00DE1792" w:rsidRPr="001D2ADB">
        <w:rPr>
          <w:rFonts w:ascii="Arial" w:hAnsi="Arial" w:cs="Arial"/>
          <w:color w:val="212121"/>
          <w:shd w:val="clear" w:color="auto" w:fill="FFFFFF"/>
        </w:rPr>
        <w:t xml:space="preserve"> 2022 Nov 3. PMID: 36325897; PMCID: PMC9750107.</w:t>
      </w:r>
    </w:p>
    <w:p w14:paraId="777DAABB" w14:textId="700197FF" w:rsidR="00DE1792" w:rsidRPr="001D2ADB" w:rsidRDefault="006479D3" w:rsidP="001D2ADB">
      <w:pPr>
        <w:spacing w:after="0"/>
        <w:ind w:left="576" w:hanging="576"/>
        <w:rPr>
          <w:rFonts w:ascii="Arial" w:hAnsi="Arial" w:cs="Arial"/>
        </w:rPr>
      </w:pPr>
      <w:r w:rsidRPr="001D2ADB">
        <w:rPr>
          <w:rFonts w:ascii="Arial" w:hAnsi="Arial" w:cs="Arial"/>
        </w:rPr>
        <w:t>81</w:t>
      </w:r>
      <w:r w:rsidR="00DE1792" w:rsidRPr="001D2ADB">
        <w:rPr>
          <w:rFonts w:ascii="Arial" w:hAnsi="Arial" w:cs="Arial"/>
        </w:rPr>
        <w:t>.</w:t>
      </w:r>
      <w:r w:rsidR="00DE1792" w:rsidRPr="001D2ADB">
        <w:rPr>
          <w:rFonts w:ascii="Arial" w:hAnsi="Arial" w:cs="Arial"/>
          <w:color w:val="212121"/>
          <w:shd w:val="clear" w:color="auto" w:fill="FFFFFF"/>
        </w:rPr>
        <w:tab/>
        <w:t xml:space="preserve">Daniels S, Caprio S, Chaudhari U, Manvelian G, Baccara-Dinet MT, Brunet A, </w:t>
      </w:r>
      <w:proofErr w:type="spellStart"/>
      <w:r w:rsidR="00DE1792" w:rsidRPr="001D2ADB">
        <w:rPr>
          <w:rFonts w:ascii="Arial" w:hAnsi="Arial" w:cs="Arial"/>
          <w:color w:val="212121"/>
          <w:shd w:val="clear" w:color="auto" w:fill="FFFFFF"/>
        </w:rPr>
        <w:t>Scemama</w:t>
      </w:r>
      <w:proofErr w:type="spellEnd"/>
      <w:r w:rsidR="00DE1792" w:rsidRPr="001D2ADB">
        <w:rPr>
          <w:rFonts w:ascii="Arial" w:hAnsi="Arial" w:cs="Arial"/>
          <w:color w:val="212121"/>
          <w:shd w:val="clear" w:color="auto" w:fill="FFFFFF"/>
        </w:rPr>
        <w:t xml:space="preserve"> M, Loizeau V, Bruckert E. PCSK9 inhibition with alirocumab in pediatric patients with heterozygous familial hypercholesterolemia: The ODYSSEY KIDS study. J Clin </w:t>
      </w:r>
      <w:proofErr w:type="spellStart"/>
      <w:r w:rsidR="00DE1792" w:rsidRPr="001D2ADB">
        <w:rPr>
          <w:rFonts w:ascii="Arial" w:hAnsi="Arial" w:cs="Arial"/>
          <w:color w:val="212121"/>
          <w:shd w:val="clear" w:color="auto" w:fill="FFFFFF"/>
        </w:rPr>
        <w:t>Lipidol</w:t>
      </w:r>
      <w:proofErr w:type="spellEnd"/>
      <w:r w:rsidR="00DE1792" w:rsidRPr="001D2ADB">
        <w:rPr>
          <w:rFonts w:ascii="Arial" w:hAnsi="Arial" w:cs="Arial"/>
          <w:color w:val="212121"/>
          <w:shd w:val="clear" w:color="auto" w:fill="FFFFFF"/>
        </w:rPr>
        <w:t xml:space="preserve">. 2020 May-Jun;14(3):322-330.e5. </w:t>
      </w:r>
      <w:proofErr w:type="spellStart"/>
      <w:r w:rsidR="00DE1792" w:rsidRPr="001D2ADB">
        <w:rPr>
          <w:rFonts w:ascii="Arial" w:hAnsi="Arial" w:cs="Arial"/>
          <w:color w:val="212121"/>
          <w:shd w:val="clear" w:color="auto" w:fill="FFFFFF"/>
        </w:rPr>
        <w:t>doi</w:t>
      </w:r>
      <w:proofErr w:type="spellEnd"/>
      <w:r w:rsidR="00DE1792" w:rsidRPr="001D2ADB">
        <w:rPr>
          <w:rFonts w:ascii="Arial" w:hAnsi="Arial" w:cs="Arial"/>
          <w:color w:val="212121"/>
          <w:shd w:val="clear" w:color="auto" w:fill="FFFFFF"/>
        </w:rPr>
        <w:t xml:space="preserve">: 10.1016/j.jacl.2020.03.001. </w:t>
      </w:r>
      <w:proofErr w:type="spellStart"/>
      <w:r w:rsidR="00DE1792" w:rsidRPr="001D2ADB">
        <w:rPr>
          <w:rFonts w:ascii="Arial" w:hAnsi="Arial" w:cs="Arial"/>
          <w:color w:val="212121"/>
          <w:shd w:val="clear" w:color="auto" w:fill="FFFFFF"/>
        </w:rPr>
        <w:t>Epub</w:t>
      </w:r>
      <w:proofErr w:type="spellEnd"/>
      <w:r w:rsidR="00DE1792" w:rsidRPr="001D2ADB">
        <w:rPr>
          <w:rFonts w:ascii="Arial" w:hAnsi="Arial" w:cs="Arial"/>
          <w:color w:val="212121"/>
          <w:shd w:val="clear" w:color="auto" w:fill="FFFFFF"/>
        </w:rPr>
        <w:t xml:space="preserve"> 2020 Mar 28. Erratum in: J Clin </w:t>
      </w:r>
      <w:proofErr w:type="spellStart"/>
      <w:r w:rsidR="00DE1792" w:rsidRPr="001D2ADB">
        <w:rPr>
          <w:rFonts w:ascii="Arial" w:hAnsi="Arial" w:cs="Arial"/>
          <w:color w:val="212121"/>
          <w:shd w:val="clear" w:color="auto" w:fill="FFFFFF"/>
        </w:rPr>
        <w:t>Lipidol</w:t>
      </w:r>
      <w:proofErr w:type="spellEnd"/>
      <w:r w:rsidR="00DE1792" w:rsidRPr="001D2ADB">
        <w:rPr>
          <w:rFonts w:ascii="Arial" w:hAnsi="Arial" w:cs="Arial"/>
          <w:color w:val="212121"/>
          <w:shd w:val="clear" w:color="auto" w:fill="FFFFFF"/>
        </w:rPr>
        <w:t>. 2020 Sep - Oct;14(5):741. PMID: 32331936.</w:t>
      </w:r>
    </w:p>
    <w:p w14:paraId="7F6588BC" w14:textId="5C212409" w:rsidR="00DE1792" w:rsidRPr="001D2ADB" w:rsidRDefault="006479D3" w:rsidP="001D2ADB">
      <w:pPr>
        <w:spacing w:after="0"/>
        <w:ind w:left="576" w:hanging="576"/>
        <w:rPr>
          <w:rFonts w:ascii="Arial" w:hAnsi="Arial" w:cs="Arial"/>
        </w:rPr>
      </w:pPr>
      <w:r w:rsidRPr="001D2ADB">
        <w:rPr>
          <w:rFonts w:ascii="Arial" w:hAnsi="Arial" w:cs="Arial"/>
        </w:rPr>
        <w:t>82</w:t>
      </w:r>
      <w:r w:rsidR="00DE1792" w:rsidRPr="001D2ADB">
        <w:rPr>
          <w:rFonts w:ascii="Arial" w:hAnsi="Arial" w:cs="Arial"/>
        </w:rPr>
        <w:t>.</w:t>
      </w:r>
      <w:r w:rsidR="00DE1792" w:rsidRPr="001D2ADB">
        <w:rPr>
          <w:rFonts w:ascii="Arial" w:hAnsi="Arial" w:cs="Arial"/>
          <w:color w:val="212121"/>
          <w:shd w:val="clear" w:color="auto" w:fill="FFFFFF"/>
        </w:rPr>
        <w:tab/>
        <w:t xml:space="preserve">Ben-Omran T, Masana L, Kolovou G, </w:t>
      </w:r>
      <w:proofErr w:type="spellStart"/>
      <w:r w:rsidR="00DE1792" w:rsidRPr="001D2ADB">
        <w:rPr>
          <w:rFonts w:ascii="Arial" w:hAnsi="Arial" w:cs="Arial"/>
          <w:color w:val="212121"/>
          <w:shd w:val="clear" w:color="auto" w:fill="FFFFFF"/>
        </w:rPr>
        <w:t>Ariceta</w:t>
      </w:r>
      <w:proofErr w:type="spellEnd"/>
      <w:r w:rsidR="00DE1792" w:rsidRPr="001D2ADB">
        <w:rPr>
          <w:rFonts w:ascii="Arial" w:hAnsi="Arial" w:cs="Arial"/>
          <w:color w:val="212121"/>
          <w:shd w:val="clear" w:color="auto" w:fill="FFFFFF"/>
        </w:rPr>
        <w:t xml:space="preserve"> G, Nóvoa FJ, Lund AM, </w:t>
      </w:r>
      <w:proofErr w:type="spellStart"/>
      <w:r w:rsidR="00DE1792" w:rsidRPr="001D2ADB">
        <w:rPr>
          <w:rFonts w:ascii="Arial" w:hAnsi="Arial" w:cs="Arial"/>
          <w:color w:val="212121"/>
          <w:shd w:val="clear" w:color="auto" w:fill="FFFFFF"/>
        </w:rPr>
        <w:t>Bogsrud</w:t>
      </w:r>
      <w:proofErr w:type="spellEnd"/>
      <w:r w:rsidR="00DE1792" w:rsidRPr="001D2ADB">
        <w:rPr>
          <w:rFonts w:ascii="Arial" w:hAnsi="Arial" w:cs="Arial"/>
          <w:color w:val="212121"/>
          <w:shd w:val="clear" w:color="auto" w:fill="FFFFFF"/>
        </w:rPr>
        <w:t xml:space="preserve"> MP, Araujo M, Hussein O, </w:t>
      </w:r>
      <w:proofErr w:type="spellStart"/>
      <w:r w:rsidR="00DE1792" w:rsidRPr="001D2ADB">
        <w:rPr>
          <w:rFonts w:ascii="Arial" w:hAnsi="Arial" w:cs="Arial"/>
          <w:color w:val="212121"/>
          <w:shd w:val="clear" w:color="auto" w:fill="FFFFFF"/>
        </w:rPr>
        <w:t>Ibarretxe</w:t>
      </w:r>
      <w:proofErr w:type="spellEnd"/>
      <w:r w:rsidR="00DE1792" w:rsidRPr="001D2ADB">
        <w:rPr>
          <w:rFonts w:ascii="Arial" w:hAnsi="Arial" w:cs="Arial"/>
          <w:color w:val="212121"/>
          <w:shd w:val="clear" w:color="auto" w:fill="FFFFFF"/>
        </w:rPr>
        <w:t xml:space="preserve"> D, Sanchez-Hernández RM, Santos RD. Real-World Outcomes with Lomitapide Use in </w:t>
      </w:r>
      <w:proofErr w:type="spellStart"/>
      <w:r w:rsidR="00DE1792" w:rsidRPr="001D2ADB">
        <w:rPr>
          <w:rFonts w:ascii="Arial" w:hAnsi="Arial" w:cs="Arial"/>
          <w:color w:val="212121"/>
          <w:shd w:val="clear" w:color="auto" w:fill="FFFFFF"/>
        </w:rPr>
        <w:t>Paediatric</w:t>
      </w:r>
      <w:proofErr w:type="spellEnd"/>
      <w:r w:rsidR="00DE1792" w:rsidRPr="001D2ADB">
        <w:rPr>
          <w:rFonts w:ascii="Arial" w:hAnsi="Arial" w:cs="Arial"/>
          <w:color w:val="212121"/>
          <w:shd w:val="clear" w:color="auto" w:fill="FFFFFF"/>
        </w:rPr>
        <w:t xml:space="preserve"> Patients with Homozygous Familial </w:t>
      </w:r>
      <w:proofErr w:type="spellStart"/>
      <w:r w:rsidR="00DE1792" w:rsidRPr="001D2ADB">
        <w:rPr>
          <w:rFonts w:ascii="Arial" w:hAnsi="Arial" w:cs="Arial"/>
          <w:color w:val="212121"/>
          <w:shd w:val="clear" w:color="auto" w:fill="FFFFFF"/>
        </w:rPr>
        <w:t>Hypercholesterolaemia</w:t>
      </w:r>
      <w:proofErr w:type="spellEnd"/>
      <w:r w:rsidR="00DE1792" w:rsidRPr="001D2ADB">
        <w:rPr>
          <w:rFonts w:ascii="Arial" w:hAnsi="Arial" w:cs="Arial"/>
          <w:color w:val="212121"/>
          <w:shd w:val="clear" w:color="auto" w:fill="FFFFFF"/>
        </w:rPr>
        <w:t xml:space="preserve">. Adv Ther. 2019 Jul;36(7):1786-1811. </w:t>
      </w:r>
      <w:proofErr w:type="spellStart"/>
      <w:r w:rsidR="00DE1792" w:rsidRPr="001D2ADB">
        <w:rPr>
          <w:rFonts w:ascii="Arial" w:hAnsi="Arial" w:cs="Arial"/>
          <w:color w:val="212121"/>
          <w:shd w:val="clear" w:color="auto" w:fill="FFFFFF"/>
        </w:rPr>
        <w:t>doi</w:t>
      </w:r>
      <w:proofErr w:type="spellEnd"/>
      <w:r w:rsidR="00DE1792" w:rsidRPr="001D2ADB">
        <w:rPr>
          <w:rFonts w:ascii="Arial" w:hAnsi="Arial" w:cs="Arial"/>
          <w:color w:val="212121"/>
          <w:shd w:val="clear" w:color="auto" w:fill="FFFFFF"/>
        </w:rPr>
        <w:t xml:space="preserve">: 10.1007/s12325-019-00985-8. </w:t>
      </w:r>
      <w:proofErr w:type="spellStart"/>
      <w:r w:rsidR="00DE1792" w:rsidRPr="001D2ADB">
        <w:rPr>
          <w:rFonts w:ascii="Arial" w:hAnsi="Arial" w:cs="Arial"/>
          <w:color w:val="212121"/>
          <w:shd w:val="clear" w:color="auto" w:fill="FFFFFF"/>
        </w:rPr>
        <w:t>Epub</w:t>
      </w:r>
      <w:proofErr w:type="spellEnd"/>
      <w:r w:rsidR="00DE1792" w:rsidRPr="001D2ADB">
        <w:rPr>
          <w:rFonts w:ascii="Arial" w:hAnsi="Arial" w:cs="Arial"/>
          <w:color w:val="212121"/>
          <w:shd w:val="clear" w:color="auto" w:fill="FFFFFF"/>
        </w:rPr>
        <w:t xml:space="preserve"> 2019 May 17. PMID: 31102204; PMCID: PMC6824397.</w:t>
      </w:r>
    </w:p>
    <w:p w14:paraId="6B43BB64" w14:textId="77777777" w:rsidR="00E45A26" w:rsidRPr="001D2ADB" w:rsidRDefault="00E45A26" w:rsidP="001D2ADB">
      <w:pPr>
        <w:spacing w:after="0"/>
        <w:ind w:left="576" w:hanging="576"/>
        <w:rPr>
          <w:rFonts w:ascii="Arial" w:hAnsi="Arial" w:cs="Arial"/>
        </w:rPr>
      </w:pPr>
      <w:r w:rsidRPr="001D2ADB">
        <w:rPr>
          <w:rFonts w:ascii="Arial" w:hAnsi="Arial" w:cs="Arial"/>
        </w:rPr>
        <w:t>83.</w:t>
      </w:r>
      <w:r w:rsidRPr="001D2ADB">
        <w:rPr>
          <w:rFonts w:ascii="Arial" w:hAnsi="Arial" w:cs="Arial"/>
        </w:rPr>
        <w:tab/>
        <w:t>Leqvio product monograph. Novartis. East Hanover, NJ. 2021.</w:t>
      </w:r>
    </w:p>
    <w:p w14:paraId="6596631E" w14:textId="77777777" w:rsidR="00E45A26" w:rsidRPr="001D2ADB" w:rsidRDefault="00DE1792" w:rsidP="001D2ADB">
      <w:pPr>
        <w:spacing w:after="0"/>
        <w:ind w:left="576" w:hanging="576"/>
        <w:rPr>
          <w:rFonts w:ascii="Arial" w:hAnsi="Arial" w:cs="Arial"/>
        </w:rPr>
      </w:pPr>
      <w:r w:rsidRPr="001D2ADB">
        <w:rPr>
          <w:rFonts w:ascii="Arial" w:hAnsi="Arial" w:cs="Arial"/>
        </w:rPr>
        <w:t>8</w:t>
      </w:r>
      <w:r w:rsidR="006479D3" w:rsidRPr="001D2ADB">
        <w:rPr>
          <w:rFonts w:ascii="Arial" w:hAnsi="Arial" w:cs="Arial"/>
        </w:rPr>
        <w:t>4</w:t>
      </w:r>
      <w:r w:rsidRPr="001D2ADB">
        <w:rPr>
          <w:rFonts w:ascii="Arial" w:hAnsi="Arial" w:cs="Arial"/>
        </w:rPr>
        <w:t>.</w:t>
      </w:r>
      <w:r w:rsidRPr="001D2ADB">
        <w:rPr>
          <w:rFonts w:ascii="Arial" w:hAnsi="Arial" w:cs="Arial"/>
          <w:color w:val="212121"/>
          <w:shd w:val="clear" w:color="auto" w:fill="FFFFFF"/>
        </w:rPr>
        <w:tab/>
      </w:r>
      <w:proofErr w:type="spellStart"/>
      <w:r w:rsidRPr="001D2ADB">
        <w:rPr>
          <w:rFonts w:ascii="Arial" w:hAnsi="Arial" w:cs="Arial"/>
          <w:color w:val="212121"/>
          <w:shd w:val="clear" w:color="auto" w:fill="FFFFFF"/>
        </w:rPr>
        <w:t>Reijman</w:t>
      </w:r>
      <w:proofErr w:type="spellEnd"/>
      <w:r w:rsidRPr="001D2ADB">
        <w:rPr>
          <w:rFonts w:ascii="Arial" w:hAnsi="Arial" w:cs="Arial"/>
          <w:color w:val="212121"/>
          <w:shd w:val="clear" w:color="auto" w:fill="FFFFFF"/>
        </w:rPr>
        <w:t xml:space="preserve"> MD, Schweizer A, Peterson ALH, Bruckert E, Stratz C, </w:t>
      </w:r>
      <w:proofErr w:type="spellStart"/>
      <w:r w:rsidRPr="001D2ADB">
        <w:rPr>
          <w:rFonts w:ascii="Arial" w:hAnsi="Arial" w:cs="Arial"/>
          <w:color w:val="212121"/>
          <w:shd w:val="clear" w:color="auto" w:fill="FFFFFF"/>
        </w:rPr>
        <w:t>Defesche</w:t>
      </w:r>
      <w:proofErr w:type="spellEnd"/>
      <w:r w:rsidRPr="001D2ADB">
        <w:rPr>
          <w:rFonts w:ascii="Arial" w:hAnsi="Arial" w:cs="Arial"/>
          <w:color w:val="212121"/>
          <w:shd w:val="clear" w:color="auto" w:fill="FFFFFF"/>
        </w:rPr>
        <w:t xml:space="preserve"> JC, Hegele RA, Wiegman A. Rationale and design of two trials assessing the efficacy, safety, and tolerability of inclisiran in adolescents with homozygous and heterozygous familial </w:t>
      </w:r>
      <w:proofErr w:type="spellStart"/>
      <w:r w:rsidRPr="001D2ADB">
        <w:rPr>
          <w:rFonts w:ascii="Arial" w:hAnsi="Arial" w:cs="Arial"/>
          <w:color w:val="212121"/>
          <w:shd w:val="clear" w:color="auto" w:fill="FFFFFF"/>
        </w:rPr>
        <w:t>hypercholesterolaemia</w:t>
      </w:r>
      <w:proofErr w:type="spellEnd"/>
      <w:r w:rsidRPr="001D2ADB">
        <w:rPr>
          <w:rFonts w:ascii="Arial" w:hAnsi="Arial" w:cs="Arial"/>
          <w:color w:val="212121"/>
          <w:shd w:val="clear" w:color="auto" w:fill="FFFFFF"/>
        </w:rPr>
        <w:t xml:space="preserve">. </w:t>
      </w:r>
      <w:proofErr w:type="spellStart"/>
      <w:r w:rsidRPr="001D2ADB">
        <w:rPr>
          <w:rFonts w:ascii="Arial" w:hAnsi="Arial" w:cs="Arial"/>
          <w:color w:val="212121"/>
          <w:shd w:val="clear" w:color="auto" w:fill="FFFFFF"/>
        </w:rPr>
        <w:t>Eur</w:t>
      </w:r>
      <w:proofErr w:type="spellEnd"/>
      <w:r w:rsidRPr="001D2ADB">
        <w:rPr>
          <w:rFonts w:ascii="Arial" w:hAnsi="Arial" w:cs="Arial"/>
          <w:color w:val="212121"/>
          <w:shd w:val="clear" w:color="auto" w:fill="FFFFFF"/>
        </w:rPr>
        <w:t xml:space="preserve"> J Prev </w:t>
      </w:r>
      <w:proofErr w:type="spellStart"/>
      <w:r w:rsidRPr="001D2ADB">
        <w:rPr>
          <w:rFonts w:ascii="Arial" w:hAnsi="Arial" w:cs="Arial"/>
          <w:color w:val="212121"/>
          <w:shd w:val="clear" w:color="auto" w:fill="FFFFFF"/>
        </w:rPr>
        <w:t>Cardiol</w:t>
      </w:r>
      <w:proofErr w:type="spellEnd"/>
      <w:r w:rsidRPr="001D2ADB">
        <w:rPr>
          <w:rFonts w:ascii="Arial" w:hAnsi="Arial" w:cs="Arial"/>
          <w:color w:val="212121"/>
          <w:shd w:val="clear" w:color="auto" w:fill="FFFFFF"/>
        </w:rPr>
        <w:t xml:space="preserve">. 2022 Jul 20;29(9):1361-1368. </w:t>
      </w:r>
      <w:proofErr w:type="spellStart"/>
      <w:r w:rsidRPr="001D2ADB">
        <w:rPr>
          <w:rFonts w:ascii="Arial" w:hAnsi="Arial" w:cs="Arial"/>
          <w:color w:val="212121"/>
          <w:shd w:val="clear" w:color="auto" w:fill="FFFFFF"/>
        </w:rPr>
        <w:t>doi</w:t>
      </w:r>
      <w:proofErr w:type="spellEnd"/>
      <w:r w:rsidRPr="001D2ADB">
        <w:rPr>
          <w:rFonts w:ascii="Arial" w:hAnsi="Arial" w:cs="Arial"/>
          <w:color w:val="212121"/>
          <w:shd w:val="clear" w:color="auto" w:fill="FFFFFF"/>
        </w:rPr>
        <w:t>: 10.1093/</w:t>
      </w:r>
      <w:proofErr w:type="spellStart"/>
      <w:r w:rsidRPr="001D2ADB">
        <w:rPr>
          <w:rFonts w:ascii="Arial" w:hAnsi="Arial" w:cs="Arial"/>
          <w:color w:val="212121"/>
          <w:shd w:val="clear" w:color="auto" w:fill="FFFFFF"/>
        </w:rPr>
        <w:t>eurjpc</w:t>
      </w:r>
      <w:proofErr w:type="spellEnd"/>
      <w:r w:rsidRPr="001D2ADB">
        <w:rPr>
          <w:rFonts w:ascii="Arial" w:hAnsi="Arial" w:cs="Arial"/>
          <w:color w:val="212121"/>
          <w:shd w:val="clear" w:color="auto" w:fill="FFFFFF"/>
        </w:rPr>
        <w:t>/zwac025. PMID: 35175352.</w:t>
      </w:r>
    </w:p>
    <w:p w14:paraId="7E8FBF35" w14:textId="77777777" w:rsidR="00E45A26" w:rsidRPr="001D2ADB" w:rsidRDefault="00DE1792" w:rsidP="001D2ADB">
      <w:pPr>
        <w:spacing w:after="0"/>
        <w:ind w:left="576" w:hanging="576"/>
        <w:rPr>
          <w:rFonts w:ascii="Arial" w:hAnsi="Arial" w:cs="Arial"/>
        </w:rPr>
      </w:pPr>
      <w:r w:rsidRPr="001D2ADB">
        <w:rPr>
          <w:rFonts w:ascii="Arial" w:hAnsi="Arial" w:cs="Arial"/>
        </w:rPr>
        <w:t>8</w:t>
      </w:r>
      <w:r w:rsidR="006479D3" w:rsidRPr="001D2ADB">
        <w:rPr>
          <w:rFonts w:ascii="Arial" w:hAnsi="Arial" w:cs="Arial"/>
        </w:rPr>
        <w:t>5</w:t>
      </w:r>
      <w:r w:rsidRPr="001D2ADB">
        <w:rPr>
          <w:rFonts w:ascii="Arial" w:hAnsi="Arial" w:cs="Arial"/>
        </w:rPr>
        <w:t>.</w:t>
      </w:r>
      <w:r w:rsidRPr="001D2ADB">
        <w:rPr>
          <w:rFonts w:ascii="Arial" w:hAnsi="Arial" w:cs="Arial"/>
        </w:rPr>
        <w:tab/>
        <w:t xml:space="preserve">Kosmas CE, </w:t>
      </w:r>
      <w:proofErr w:type="spellStart"/>
      <w:r w:rsidRPr="001D2ADB">
        <w:rPr>
          <w:rFonts w:ascii="Arial" w:hAnsi="Arial" w:cs="Arial"/>
        </w:rPr>
        <w:t>Bousvarou</w:t>
      </w:r>
      <w:proofErr w:type="spellEnd"/>
      <w:r w:rsidRPr="001D2ADB">
        <w:rPr>
          <w:rFonts w:ascii="Arial" w:hAnsi="Arial" w:cs="Arial"/>
        </w:rPr>
        <w:t xml:space="preserve"> MD, </w:t>
      </w:r>
      <w:proofErr w:type="spellStart"/>
      <w:r w:rsidRPr="001D2ADB">
        <w:rPr>
          <w:rFonts w:ascii="Arial" w:hAnsi="Arial" w:cs="Arial"/>
        </w:rPr>
        <w:t>Sourlas</w:t>
      </w:r>
      <w:proofErr w:type="spellEnd"/>
      <w:r w:rsidRPr="001D2ADB">
        <w:rPr>
          <w:rFonts w:ascii="Arial" w:hAnsi="Arial" w:cs="Arial"/>
        </w:rPr>
        <w:t xml:space="preserve"> A, Papakonstantinou EJ, Genao EP, Uceta RE, Guzman E.  Angiopoietin-like protein 3 (ANGPTL3) inhibitors in the management of </w:t>
      </w:r>
      <w:r w:rsidRPr="001D2ADB">
        <w:rPr>
          <w:rFonts w:ascii="Arial" w:hAnsi="Arial" w:cs="Arial"/>
        </w:rPr>
        <w:lastRenderedPageBreak/>
        <w:t xml:space="preserve">refractory hypercholesterolemia.  Clin </w:t>
      </w:r>
      <w:proofErr w:type="spellStart"/>
      <w:r w:rsidRPr="001D2ADB">
        <w:rPr>
          <w:rFonts w:ascii="Arial" w:hAnsi="Arial" w:cs="Arial"/>
        </w:rPr>
        <w:t>Pharmacol</w:t>
      </w:r>
      <w:proofErr w:type="spellEnd"/>
      <w:r w:rsidRPr="001D2ADB">
        <w:rPr>
          <w:rFonts w:ascii="Arial" w:hAnsi="Arial" w:cs="Arial"/>
        </w:rPr>
        <w:t xml:space="preserve">. </w:t>
      </w:r>
      <w:proofErr w:type="gramStart"/>
      <w:r w:rsidRPr="001D2ADB">
        <w:rPr>
          <w:rFonts w:ascii="Arial" w:hAnsi="Arial" w:cs="Arial"/>
        </w:rPr>
        <w:t>2022;14:49</w:t>
      </w:r>
      <w:proofErr w:type="gramEnd"/>
      <w:r w:rsidRPr="001D2ADB">
        <w:rPr>
          <w:rFonts w:ascii="Arial" w:hAnsi="Arial" w:cs="Arial"/>
        </w:rPr>
        <w:t xml:space="preserve">-59. </w:t>
      </w:r>
      <w:proofErr w:type="spellStart"/>
      <w:r w:rsidRPr="001D2ADB">
        <w:rPr>
          <w:rFonts w:ascii="Arial" w:hAnsi="Arial" w:cs="Arial"/>
        </w:rPr>
        <w:t>doi</w:t>
      </w:r>
      <w:proofErr w:type="spellEnd"/>
      <w:r w:rsidRPr="001D2ADB">
        <w:rPr>
          <w:rFonts w:ascii="Arial" w:hAnsi="Arial" w:cs="Arial"/>
        </w:rPr>
        <w:t xml:space="preserve">: </w:t>
      </w:r>
      <w:hyperlink r:id="rId7" w:tgtFrame="_blank" w:history="1">
        <w:r w:rsidRPr="001D2ADB">
          <w:rPr>
            <w:rFonts w:ascii="Arial" w:hAnsi="Arial" w:cs="Arial"/>
          </w:rPr>
          <w:t>10.2147/CPAA.S345072</w:t>
        </w:r>
      </w:hyperlink>
      <w:r w:rsidRPr="001D2ADB">
        <w:rPr>
          <w:rFonts w:ascii="Arial" w:hAnsi="Arial" w:cs="Arial"/>
        </w:rPr>
        <w:t xml:space="preserve">.  </w:t>
      </w:r>
      <w:proofErr w:type="spellStart"/>
      <w:r w:rsidRPr="001D2ADB">
        <w:rPr>
          <w:rFonts w:ascii="Arial" w:hAnsi="Arial" w:cs="Arial"/>
          <w:color w:val="212121"/>
          <w:shd w:val="clear" w:color="auto" w:fill="FFFFFF"/>
        </w:rPr>
        <w:t>Epub</w:t>
      </w:r>
      <w:proofErr w:type="spellEnd"/>
      <w:r w:rsidRPr="001D2ADB">
        <w:rPr>
          <w:rFonts w:ascii="Arial" w:hAnsi="Arial" w:cs="Arial"/>
          <w:color w:val="212121"/>
          <w:shd w:val="clear" w:color="auto" w:fill="FFFFFF"/>
        </w:rPr>
        <w:t xml:space="preserve"> 2022 Jul 16. </w:t>
      </w:r>
      <w:r w:rsidRPr="001D2ADB">
        <w:rPr>
          <w:rFonts w:ascii="Arial" w:hAnsi="Arial" w:cs="Arial"/>
        </w:rPr>
        <w:t>PMID: 358l73366.</w:t>
      </w:r>
    </w:p>
    <w:p w14:paraId="790D8E1B" w14:textId="77777777" w:rsidR="002B400E" w:rsidRPr="001D2ADB" w:rsidRDefault="00DE1792" w:rsidP="001D2ADB">
      <w:pPr>
        <w:spacing w:after="0"/>
        <w:ind w:left="576" w:hanging="576"/>
        <w:rPr>
          <w:rFonts w:ascii="Arial" w:hAnsi="Arial" w:cs="Arial"/>
        </w:rPr>
      </w:pPr>
      <w:r w:rsidRPr="001D2ADB">
        <w:rPr>
          <w:rFonts w:ascii="Arial" w:hAnsi="Arial" w:cs="Arial"/>
        </w:rPr>
        <w:t>8</w:t>
      </w:r>
      <w:r w:rsidR="006479D3" w:rsidRPr="001D2ADB">
        <w:rPr>
          <w:rFonts w:ascii="Arial" w:hAnsi="Arial" w:cs="Arial"/>
        </w:rPr>
        <w:t>6</w:t>
      </w:r>
      <w:r w:rsidRPr="001D2ADB">
        <w:rPr>
          <w:rFonts w:ascii="Arial" w:hAnsi="Arial" w:cs="Arial"/>
        </w:rPr>
        <w:t>.</w:t>
      </w:r>
      <w:r w:rsidRPr="001D2ADB">
        <w:rPr>
          <w:rFonts w:ascii="Arial" w:hAnsi="Arial" w:cs="Arial"/>
        </w:rPr>
        <w:tab/>
        <w:t xml:space="preserve">Raal FJ, Rosenson RS, </w:t>
      </w:r>
      <w:proofErr w:type="spellStart"/>
      <w:r w:rsidRPr="001D2ADB">
        <w:rPr>
          <w:rFonts w:ascii="Arial" w:hAnsi="Arial" w:cs="Arial"/>
        </w:rPr>
        <w:t>Reeskamp</w:t>
      </w:r>
      <w:proofErr w:type="spellEnd"/>
      <w:r w:rsidRPr="001D2ADB">
        <w:rPr>
          <w:rFonts w:ascii="Arial" w:hAnsi="Arial" w:cs="Arial"/>
        </w:rPr>
        <w:t xml:space="preserve"> LF, </w:t>
      </w:r>
      <w:proofErr w:type="spellStart"/>
      <w:r w:rsidRPr="001D2ADB">
        <w:rPr>
          <w:rFonts w:ascii="Arial" w:hAnsi="Arial" w:cs="Arial"/>
        </w:rPr>
        <w:t>Hovingh</w:t>
      </w:r>
      <w:proofErr w:type="spellEnd"/>
      <w:r w:rsidRPr="001D2ADB">
        <w:rPr>
          <w:rFonts w:ascii="Arial" w:hAnsi="Arial" w:cs="Arial"/>
        </w:rPr>
        <w:t xml:space="preserve"> GK, </w:t>
      </w:r>
      <w:proofErr w:type="spellStart"/>
      <w:r w:rsidRPr="001D2ADB">
        <w:rPr>
          <w:rFonts w:ascii="Arial" w:hAnsi="Arial" w:cs="Arial"/>
        </w:rPr>
        <w:t>Kastelein</w:t>
      </w:r>
      <w:proofErr w:type="spellEnd"/>
      <w:r w:rsidRPr="001D2ADB">
        <w:rPr>
          <w:rFonts w:ascii="Arial" w:hAnsi="Arial" w:cs="Arial"/>
        </w:rPr>
        <w:t xml:space="preserve"> JJP, </w:t>
      </w:r>
      <w:proofErr w:type="spellStart"/>
      <w:r w:rsidRPr="001D2ADB">
        <w:rPr>
          <w:rFonts w:ascii="Arial" w:hAnsi="Arial" w:cs="Arial"/>
        </w:rPr>
        <w:t>Rubba</w:t>
      </w:r>
      <w:proofErr w:type="spellEnd"/>
      <w:r w:rsidRPr="001D2ADB">
        <w:rPr>
          <w:rFonts w:ascii="Arial" w:hAnsi="Arial" w:cs="Arial"/>
        </w:rPr>
        <w:t xml:space="preserve"> P, Ali S, Banerjee P, Chan K-C, Gipe DA, </w:t>
      </w:r>
      <w:proofErr w:type="spellStart"/>
      <w:r w:rsidRPr="001D2ADB">
        <w:rPr>
          <w:rFonts w:ascii="Arial" w:hAnsi="Arial" w:cs="Arial"/>
        </w:rPr>
        <w:t>Khilla</w:t>
      </w:r>
      <w:proofErr w:type="spellEnd"/>
      <w:r w:rsidRPr="001D2ADB">
        <w:rPr>
          <w:rFonts w:ascii="Arial" w:hAnsi="Arial" w:cs="Arial"/>
        </w:rPr>
        <w:t xml:space="preserve"> N, </w:t>
      </w:r>
      <w:proofErr w:type="spellStart"/>
      <w:r w:rsidRPr="001D2ADB">
        <w:rPr>
          <w:rFonts w:ascii="Arial" w:hAnsi="Arial" w:cs="Arial"/>
        </w:rPr>
        <w:t>Pordy</w:t>
      </w:r>
      <w:proofErr w:type="spellEnd"/>
      <w:r w:rsidRPr="001D2ADB">
        <w:rPr>
          <w:rFonts w:ascii="Arial" w:hAnsi="Arial" w:cs="Arial"/>
        </w:rPr>
        <w:t xml:space="preserve"> R, Weinreich DM, </w:t>
      </w:r>
      <w:proofErr w:type="spellStart"/>
      <w:r w:rsidRPr="001D2ADB">
        <w:rPr>
          <w:rFonts w:ascii="Arial" w:hAnsi="Arial" w:cs="Arial"/>
        </w:rPr>
        <w:t>Yancopoulos</w:t>
      </w:r>
      <w:proofErr w:type="spellEnd"/>
      <w:r w:rsidRPr="001D2ADB">
        <w:rPr>
          <w:rFonts w:ascii="Arial" w:hAnsi="Arial" w:cs="Arial"/>
        </w:rPr>
        <w:t xml:space="preserve"> GD, Zhang Y, </w:t>
      </w:r>
      <w:proofErr w:type="spellStart"/>
      <w:r w:rsidRPr="001D2ADB">
        <w:rPr>
          <w:rFonts w:ascii="Arial" w:hAnsi="Arial" w:cs="Arial"/>
        </w:rPr>
        <w:t>Guadet</w:t>
      </w:r>
      <w:proofErr w:type="spellEnd"/>
      <w:r w:rsidRPr="001D2ADB">
        <w:rPr>
          <w:rFonts w:ascii="Arial" w:hAnsi="Arial" w:cs="Arial"/>
        </w:rPr>
        <w:t xml:space="preserve"> D, ELIPSE HoFH Investigators. </w:t>
      </w:r>
      <w:proofErr w:type="spellStart"/>
      <w:r w:rsidRPr="001D2ADB">
        <w:rPr>
          <w:rFonts w:ascii="Arial" w:hAnsi="Arial" w:cs="Arial"/>
        </w:rPr>
        <w:t>Evinacumab</w:t>
      </w:r>
      <w:proofErr w:type="spellEnd"/>
      <w:r w:rsidRPr="001D2ADB">
        <w:rPr>
          <w:rFonts w:ascii="Arial" w:hAnsi="Arial" w:cs="Arial"/>
        </w:rPr>
        <w:t xml:space="preserve"> for Homozygous Familial Hypercholesterolemia.  </w:t>
      </w:r>
      <w:r w:rsidRPr="001D2ADB">
        <w:rPr>
          <w:rFonts w:ascii="Arial" w:hAnsi="Arial" w:cs="Arial"/>
          <w:color w:val="212121"/>
          <w:shd w:val="clear" w:color="auto" w:fill="FFFFFF"/>
        </w:rPr>
        <w:t xml:space="preserve">N Engl J Med. 2020 Aug 20;383(8):711-720. </w:t>
      </w:r>
      <w:proofErr w:type="spellStart"/>
      <w:r w:rsidRPr="001D2ADB">
        <w:rPr>
          <w:rFonts w:ascii="Arial" w:hAnsi="Arial" w:cs="Arial"/>
          <w:color w:val="212121"/>
          <w:shd w:val="clear" w:color="auto" w:fill="FFFFFF"/>
        </w:rPr>
        <w:t>doi</w:t>
      </w:r>
      <w:proofErr w:type="spellEnd"/>
      <w:r w:rsidRPr="001D2ADB">
        <w:rPr>
          <w:rFonts w:ascii="Arial" w:hAnsi="Arial" w:cs="Arial"/>
          <w:color w:val="212121"/>
          <w:shd w:val="clear" w:color="auto" w:fill="FFFFFF"/>
        </w:rPr>
        <w:t>: 10.1056/NEJMoa2004215. PMID: 32813947.</w:t>
      </w:r>
    </w:p>
    <w:p w14:paraId="7E6D47E3" w14:textId="3A831E29" w:rsidR="00E45A26" w:rsidRPr="001D2ADB" w:rsidRDefault="002B400E" w:rsidP="001D2ADB">
      <w:pPr>
        <w:spacing w:after="0"/>
        <w:ind w:left="576" w:hanging="576"/>
        <w:rPr>
          <w:rFonts w:ascii="Arial" w:hAnsi="Arial" w:cs="Arial"/>
        </w:rPr>
      </w:pPr>
      <w:r w:rsidRPr="001D2ADB">
        <w:rPr>
          <w:rFonts w:ascii="Arial" w:hAnsi="Arial" w:cs="Arial"/>
        </w:rPr>
        <w:t>87.</w:t>
      </w:r>
      <w:r w:rsidRPr="001D2ADB">
        <w:rPr>
          <w:rFonts w:ascii="Arial" w:hAnsi="Arial" w:cs="Arial"/>
        </w:rPr>
        <w:tab/>
      </w:r>
      <w:proofErr w:type="spellStart"/>
      <w:r w:rsidR="00DE1792" w:rsidRPr="001D2ADB">
        <w:rPr>
          <w:rFonts w:ascii="Arial" w:hAnsi="Arial" w:cs="Arial"/>
        </w:rPr>
        <w:t>Evkeeza</w:t>
      </w:r>
      <w:proofErr w:type="spellEnd"/>
      <w:r w:rsidR="00DE1792" w:rsidRPr="001D2ADB">
        <w:rPr>
          <w:rFonts w:ascii="Arial" w:hAnsi="Arial" w:cs="Arial"/>
        </w:rPr>
        <w:t xml:space="preserve"> (Evinacumab-dgnb) product monograph. Regeneron. Tarrytown, NY. 2023.</w:t>
      </w:r>
    </w:p>
    <w:p w14:paraId="0C25DD16" w14:textId="16F6111C" w:rsidR="00F479B0" w:rsidRPr="001D2ADB" w:rsidRDefault="00DE1792" w:rsidP="001D2ADB">
      <w:pPr>
        <w:spacing w:after="0"/>
        <w:ind w:left="576" w:hanging="576"/>
        <w:rPr>
          <w:rStyle w:val="bkciteavail"/>
          <w:rFonts w:ascii="Arial" w:hAnsi="Arial" w:cs="Arial"/>
        </w:rPr>
      </w:pPr>
      <w:r w:rsidRPr="001D2ADB">
        <w:rPr>
          <w:rFonts w:ascii="Arial" w:hAnsi="Arial" w:cs="Arial"/>
        </w:rPr>
        <w:t>8</w:t>
      </w:r>
      <w:r w:rsidR="006479D3" w:rsidRPr="001D2ADB">
        <w:rPr>
          <w:rFonts w:ascii="Arial" w:hAnsi="Arial" w:cs="Arial"/>
        </w:rPr>
        <w:t>8</w:t>
      </w:r>
      <w:r w:rsidRPr="001D2ADB">
        <w:rPr>
          <w:rFonts w:ascii="Arial" w:hAnsi="Arial" w:cs="Arial"/>
        </w:rPr>
        <w:t>.</w:t>
      </w:r>
      <w:r w:rsidRPr="001D2ADB">
        <w:rPr>
          <w:rFonts w:ascii="Arial" w:hAnsi="Arial" w:cs="Arial"/>
          <w:color w:val="222222"/>
          <w:shd w:val="clear" w:color="auto" w:fill="FFFFFF"/>
        </w:rPr>
        <w:tab/>
        <w:t xml:space="preserve">Rayan RA, Sharma S. Lomitapide. [Updated 2022 Jul 18]. In: </w:t>
      </w:r>
      <w:proofErr w:type="spellStart"/>
      <w:r w:rsidRPr="001D2ADB">
        <w:rPr>
          <w:rFonts w:ascii="Arial" w:hAnsi="Arial" w:cs="Arial"/>
          <w:color w:val="222222"/>
          <w:shd w:val="clear" w:color="auto" w:fill="FFFFFF"/>
        </w:rPr>
        <w:t>StatPearls</w:t>
      </w:r>
      <w:proofErr w:type="spellEnd"/>
      <w:r w:rsidRPr="001D2ADB">
        <w:rPr>
          <w:rFonts w:ascii="Arial" w:hAnsi="Arial" w:cs="Arial"/>
          <w:color w:val="222222"/>
          <w:shd w:val="clear" w:color="auto" w:fill="FFFFFF"/>
        </w:rPr>
        <w:t xml:space="preserve"> [Internet]. Treasure Island (FL): </w:t>
      </w:r>
      <w:proofErr w:type="spellStart"/>
      <w:r w:rsidRPr="001D2ADB">
        <w:rPr>
          <w:rFonts w:ascii="Arial" w:hAnsi="Arial" w:cs="Arial"/>
          <w:color w:val="222222"/>
          <w:shd w:val="clear" w:color="auto" w:fill="FFFFFF"/>
        </w:rPr>
        <w:t>StatPearls</w:t>
      </w:r>
      <w:proofErr w:type="spellEnd"/>
      <w:r w:rsidRPr="001D2ADB">
        <w:rPr>
          <w:rFonts w:ascii="Arial" w:hAnsi="Arial" w:cs="Arial"/>
          <w:color w:val="222222"/>
          <w:shd w:val="clear" w:color="auto" w:fill="FFFFFF"/>
        </w:rPr>
        <w:t xml:space="preserve"> Publishing; 2023 Jan-. </w:t>
      </w:r>
      <w:r w:rsidRPr="001D2ADB">
        <w:rPr>
          <w:rStyle w:val="bkciteavail"/>
          <w:rFonts w:ascii="Arial" w:hAnsi="Arial" w:cs="Arial"/>
          <w:color w:val="222222"/>
          <w:shd w:val="clear" w:color="auto" w:fill="FFFFFF"/>
        </w:rPr>
        <w:t xml:space="preserve">Available from: </w:t>
      </w:r>
      <w:r w:rsidR="00F479B0" w:rsidRPr="001D2ADB">
        <w:rPr>
          <w:rFonts w:ascii="Arial" w:hAnsi="Arial" w:cs="Arial"/>
          <w:shd w:val="clear" w:color="auto" w:fill="FFFFFF"/>
        </w:rPr>
        <w:t>https://www.ncbi.nlm.nih.gov/books/NBK560849/</w:t>
      </w:r>
    </w:p>
    <w:p w14:paraId="2FB83968" w14:textId="77777777" w:rsidR="00F479B0" w:rsidRPr="001D2ADB" w:rsidRDefault="004A4F0D" w:rsidP="001D2ADB">
      <w:pPr>
        <w:spacing w:after="0"/>
        <w:ind w:left="576" w:hanging="576"/>
        <w:rPr>
          <w:rFonts w:ascii="Arial" w:hAnsi="Arial" w:cs="Arial"/>
        </w:rPr>
      </w:pPr>
      <w:r w:rsidRPr="001D2ADB">
        <w:rPr>
          <w:rFonts w:ascii="Arial" w:hAnsi="Arial" w:cs="Arial"/>
        </w:rPr>
        <w:t>8</w:t>
      </w:r>
      <w:r w:rsidR="006479D3" w:rsidRPr="001D2ADB">
        <w:rPr>
          <w:rFonts w:ascii="Arial" w:hAnsi="Arial" w:cs="Arial"/>
        </w:rPr>
        <w:t>9</w:t>
      </w:r>
      <w:r w:rsidRPr="001D2ADB">
        <w:rPr>
          <w:rFonts w:ascii="Arial" w:hAnsi="Arial" w:cs="Arial"/>
        </w:rPr>
        <w:t>.</w:t>
      </w:r>
      <w:r w:rsidRPr="001D2ADB">
        <w:rPr>
          <w:rFonts w:ascii="Arial" w:hAnsi="Arial" w:cs="Arial"/>
          <w:color w:val="212121"/>
          <w:shd w:val="clear" w:color="auto" w:fill="FFFFFF"/>
        </w:rPr>
        <w:tab/>
      </w:r>
      <w:proofErr w:type="spellStart"/>
      <w:r w:rsidR="00F41158" w:rsidRPr="001D2ADB">
        <w:rPr>
          <w:rFonts w:ascii="Arial" w:hAnsi="Arial" w:cs="Arial"/>
          <w:color w:val="212121"/>
          <w:shd w:val="clear" w:color="auto" w:fill="FFFFFF"/>
        </w:rPr>
        <w:t>Goulooze</w:t>
      </w:r>
      <w:proofErr w:type="spellEnd"/>
      <w:r w:rsidR="00F41158" w:rsidRPr="001D2ADB">
        <w:rPr>
          <w:rFonts w:ascii="Arial" w:hAnsi="Arial" w:cs="Arial"/>
          <w:color w:val="212121"/>
          <w:shd w:val="clear" w:color="auto" w:fill="FFFFFF"/>
        </w:rPr>
        <w:t xml:space="preserve"> SC, Cohen AF, Rissmann R. Lomitapide. Br J Clin </w:t>
      </w:r>
      <w:proofErr w:type="spellStart"/>
      <w:r w:rsidR="00F41158" w:rsidRPr="001D2ADB">
        <w:rPr>
          <w:rFonts w:ascii="Arial" w:hAnsi="Arial" w:cs="Arial"/>
          <w:color w:val="212121"/>
          <w:shd w:val="clear" w:color="auto" w:fill="FFFFFF"/>
        </w:rPr>
        <w:t>Pharmacol</w:t>
      </w:r>
      <w:proofErr w:type="spellEnd"/>
      <w:r w:rsidR="00F41158" w:rsidRPr="001D2ADB">
        <w:rPr>
          <w:rFonts w:ascii="Arial" w:hAnsi="Arial" w:cs="Arial"/>
          <w:color w:val="212121"/>
          <w:shd w:val="clear" w:color="auto" w:fill="FFFFFF"/>
        </w:rPr>
        <w:t xml:space="preserve">. 2015 Aug;80(2):179-81. </w:t>
      </w:r>
      <w:proofErr w:type="spellStart"/>
      <w:r w:rsidR="00F41158" w:rsidRPr="001D2ADB">
        <w:rPr>
          <w:rFonts w:ascii="Arial" w:hAnsi="Arial" w:cs="Arial"/>
          <w:color w:val="212121"/>
          <w:shd w:val="clear" w:color="auto" w:fill="FFFFFF"/>
        </w:rPr>
        <w:t>doi</w:t>
      </w:r>
      <w:proofErr w:type="spellEnd"/>
      <w:r w:rsidR="00F41158" w:rsidRPr="001D2ADB">
        <w:rPr>
          <w:rFonts w:ascii="Arial" w:hAnsi="Arial" w:cs="Arial"/>
          <w:color w:val="212121"/>
          <w:shd w:val="clear" w:color="auto" w:fill="FFFFFF"/>
        </w:rPr>
        <w:t xml:space="preserve">: 10.1111/bcp.12612. </w:t>
      </w:r>
      <w:proofErr w:type="spellStart"/>
      <w:r w:rsidR="00F41158" w:rsidRPr="001D2ADB">
        <w:rPr>
          <w:rFonts w:ascii="Arial" w:hAnsi="Arial" w:cs="Arial"/>
          <w:color w:val="212121"/>
          <w:shd w:val="clear" w:color="auto" w:fill="FFFFFF"/>
        </w:rPr>
        <w:t>Epub</w:t>
      </w:r>
      <w:proofErr w:type="spellEnd"/>
      <w:r w:rsidR="00F41158" w:rsidRPr="001D2ADB">
        <w:rPr>
          <w:rFonts w:ascii="Arial" w:hAnsi="Arial" w:cs="Arial"/>
          <w:color w:val="212121"/>
          <w:shd w:val="clear" w:color="auto" w:fill="FFFFFF"/>
        </w:rPr>
        <w:t xml:space="preserve"> 2015 Jul 2. PMID: 25702706; PMCID: PMC4541964.</w:t>
      </w:r>
    </w:p>
    <w:p w14:paraId="337B1608" w14:textId="77777777" w:rsidR="00F479B0" w:rsidRPr="001D2ADB" w:rsidRDefault="006479D3" w:rsidP="001D2ADB">
      <w:pPr>
        <w:spacing w:after="0"/>
        <w:ind w:left="576" w:hanging="576"/>
        <w:rPr>
          <w:rFonts w:ascii="Arial" w:hAnsi="Arial" w:cs="Arial"/>
        </w:rPr>
      </w:pPr>
      <w:r w:rsidRPr="001D2ADB">
        <w:rPr>
          <w:rFonts w:ascii="Arial" w:hAnsi="Arial" w:cs="Arial"/>
        </w:rPr>
        <w:t>90.</w:t>
      </w:r>
      <w:r w:rsidR="00DE1792" w:rsidRPr="001D2ADB">
        <w:rPr>
          <w:rFonts w:ascii="Arial" w:hAnsi="Arial" w:cs="Arial"/>
        </w:rPr>
        <w:tab/>
      </w:r>
      <w:r w:rsidR="00DE1792" w:rsidRPr="001D2ADB">
        <w:rPr>
          <w:rFonts w:ascii="Arial" w:hAnsi="Arial" w:cs="Arial"/>
          <w:color w:val="212121"/>
          <w:shd w:val="clear" w:color="auto" w:fill="FFFFFF"/>
        </w:rPr>
        <w:t xml:space="preserve">Ray KK, Bays HE, Catapano AL, Lalwani ND, </w:t>
      </w:r>
      <w:proofErr w:type="spellStart"/>
      <w:r w:rsidR="00DE1792" w:rsidRPr="001D2ADB">
        <w:rPr>
          <w:rFonts w:ascii="Arial" w:hAnsi="Arial" w:cs="Arial"/>
          <w:color w:val="212121"/>
          <w:shd w:val="clear" w:color="auto" w:fill="FFFFFF"/>
        </w:rPr>
        <w:t>Bloedon</w:t>
      </w:r>
      <w:proofErr w:type="spellEnd"/>
      <w:r w:rsidR="00DE1792" w:rsidRPr="001D2ADB">
        <w:rPr>
          <w:rFonts w:ascii="Arial" w:hAnsi="Arial" w:cs="Arial"/>
          <w:color w:val="212121"/>
          <w:shd w:val="clear" w:color="auto" w:fill="FFFFFF"/>
        </w:rPr>
        <w:t xml:space="preserve"> LT, Sterling LR, Robinson PL, Ballantyne CM; CLEAR Harmony Trial. Safety and Efficacy of Bempedoic Acid to Reduce LDL Cholesterol. N Engl J Med. 2019 Mar 14;380(11):1022-1032. </w:t>
      </w:r>
      <w:proofErr w:type="spellStart"/>
      <w:r w:rsidR="00DE1792" w:rsidRPr="001D2ADB">
        <w:rPr>
          <w:rFonts w:ascii="Arial" w:hAnsi="Arial" w:cs="Arial"/>
          <w:color w:val="212121"/>
          <w:shd w:val="clear" w:color="auto" w:fill="FFFFFF"/>
        </w:rPr>
        <w:t>doi</w:t>
      </w:r>
      <w:proofErr w:type="spellEnd"/>
      <w:r w:rsidR="00DE1792" w:rsidRPr="001D2ADB">
        <w:rPr>
          <w:rFonts w:ascii="Arial" w:hAnsi="Arial" w:cs="Arial"/>
          <w:color w:val="212121"/>
          <w:shd w:val="clear" w:color="auto" w:fill="FFFFFF"/>
        </w:rPr>
        <w:t>: 10.1056/NEJMoa1803917. PMID: 30865796.</w:t>
      </w:r>
    </w:p>
    <w:p w14:paraId="3101356D" w14:textId="77777777" w:rsidR="00F479B0" w:rsidRPr="001D2ADB" w:rsidRDefault="006479D3" w:rsidP="001D2ADB">
      <w:pPr>
        <w:spacing w:after="0"/>
        <w:ind w:left="576" w:hanging="576"/>
        <w:rPr>
          <w:rFonts w:ascii="Arial" w:hAnsi="Arial" w:cs="Arial"/>
        </w:rPr>
      </w:pPr>
      <w:r w:rsidRPr="001D2ADB">
        <w:rPr>
          <w:rFonts w:ascii="Arial" w:hAnsi="Arial" w:cs="Arial"/>
        </w:rPr>
        <w:t>91</w:t>
      </w:r>
      <w:r w:rsidR="00DE1792" w:rsidRPr="001D2ADB">
        <w:rPr>
          <w:rFonts w:ascii="Arial" w:hAnsi="Arial" w:cs="Arial"/>
        </w:rPr>
        <w:t>.</w:t>
      </w:r>
      <w:r w:rsidR="00DE1792" w:rsidRPr="001D2ADB">
        <w:rPr>
          <w:rFonts w:ascii="Arial" w:hAnsi="Arial" w:cs="Arial"/>
          <w:color w:val="212121"/>
          <w:shd w:val="clear" w:color="auto" w:fill="FFFFFF"/>
        </w:rPr>
        <w:tab/>
        <w:t xml:space="preserve">Ballantyne CM, Bays H, Catapano AL, Goldberg A, Ray KK, Saseen JJ. Role of Bempedoic Acid in Clinical Practice. Cardiovasc Drugs Ther. 2021 Aug;35(4):853-864. </w:t>
      </w:r>
      <w:proofErr w:type="spellStart"/>
      <w:r w:rsidR="00DE1792" w:rsidRPr="001D2ADB">
        <w:rPr>
          <w:rFonts w:ascii="Arial" w:hAnsi="Arial" w:cs="Arial"/>
          <w:color w:val="212121"/>
          <w:shd w:val="clear" w:color="auto" w:fill="FFFFFF"/>
        </w:rPr>
        <w:t>doi</w:t>
      </w:r>
      <w:proofErr w:type="spellEnd"/>
      <w:r w:rsidR="00DE1792" w:rsidRPr="001D2ADB">
        <w:rPr>
          <w:rFonts w:ascii="Arial" w:hAnsi="Arial" w:cs="Arial"/>
          <w:color w:val="212121"/>
          <w:shd w:val="clear" w:color="auto" w:fill="FFFFFF"/>
        </w:rPr>
        <w:t xml:space="preserve">: 10.1007/s10557-021-07147-5. </w:t>
      </w:r>
      <w:proofErr w:type="spellStart"/>
      <w:r w:rsidR="00DE1792" w:rsidRPr="001D2ADB">
        <w:rPr>
          <w:rFonts w:ascii="Arial" w:hAnsi="Arial" w:cs="Arial"/>
          <w:color w:val="212121"/>
          <w:shd w:val="clear" w:color="auto" w:fill="FFFFFF"/>
        </w:rPr>
        <w:t>Epub</w:t>
      </w:r>
      <w:proofErr w:type="spellEnd"/>
      <w:r w:rsidR="00DE1792" w:rsidRPr="001D2ADB">
        <w:rPr>
          <w:rFonts w:ascii="Arial" w:hAnsi="Arial" w:cs="Arial"/>
          <w:color w:val="212121"/>
          <w:shd w:val="clear" w:color="auto" w:fill="FFFFFF"/>
        </w:rPr>
        <w:t xml:space="preserve"> 2021 Apr 5. Erratum in: Cardiovasc Drugs Ther. 2021 Apr </w:t>
      </w:r>
      <w:proofErr w:type="gramStart"/>
      <w:r w:rsidR="00DE1792" w:rsidRPr="001D2ADB">
        <w:rPr>
          <w:rFonts w:ascii="Arial" w:hAnsi="Arial" w:cs="Arial"/>
          <w:color w:val="212121"/>
          <w:shd w:val="clear" w:color="auto" w:fill="FFFFFF"/>
        </w:rPr>
        <w:t>19;:</w:t>
      </w:r>
      <w:proofErr w:type="gramEnd"/>
      <w:r w:rsidR="00DE1792" w:rsidRPr="001D2ADB">
        <w:rPr>
          <w:rFonts w:ascii="Arial" w:hAnsi="Arial" w:cs="Arial"/>
          <w:color w:val="212121"/>
          <w:shd w:val="clear" w:color="auto" w:fill="FFFFFF"/>
        </w:rPr>
        <w:t xml:space="preserve"> PMID: 33818688; PMCID: PMC8266788.</w:t>
      </w:r>
    </w:p>
    <w:p w14:paraId="2CF803B9" w14:textId="77777777" w:rsidR="00F479B0" w:rsidRPr="001D2ADB" w:rsidRDefault="006479D3" w:rsidP="001D2ADB">
      <w:pPr>
        <w:spacing w:after="0"/>
        <w:ind w:left="576" w:hanging="576"/>
        <w:rPr>
          <w:rFonts w:ascii="Arial" w:hAnsi="Arial" w:cs="Arial"/>
        </w:rPr>
      </w:pPr>
      <w:r w:rsidRPr="001D2ADB">
        <w:rPr>
          <w:rFonts w:ascii="Arial" w:hAnsi="Arial" w:cs="Arial"/>
        </w:rPr>
        <w:t>92</w:t>
      </w:r>
      <w:r w:rsidR="00DE1792" w:rsidRPr="001D2ADB">
        <w:rPr>
          <w:rFonts w:ascii="Arial" w:hAnsi="Arial" w:cs="Arial"/>
        </w:rPr>
        <w:t>.</w:t>
      </w:r>
      <w:r w:rsidR="00DE1792" w:rsidRPr="001D2ADB">
        <w:rPr>
          <w:rFonts w:ascii="Arial" w:hAnsi="Arial" w:cs="Arial"/>
        </w:rPr>
        <w:tab/>
        <w:t>Bempedoic acid product monograph.  Esperion. Ann Arbor, MI. 2022.</w:t>
      </w:r>
    </w:p>
    <w:p w14:paraId="4148A1DB" w14:textId="77777777" w:rsidR="00F479B0" w:rsidRPr="001D2ADB" w:rsidRDefault="006479D3" w:rsidP="001D2ADB">
      <w:pPr>
        <w:spacing w:after="0"/>
        <w:ind w:left="576" w:hanging="576"/>
        <w:rPr>
          <w:rFonts w:ascii="Arial" w:hAnsi="Arial" w:cs="Arial"/>
        </w:rPr>
      </w:pPr>
      <w:r w:rsidRPr="001D2ADB">
        <w:rPr>
          <w:rFonts w:ascii="Arial" w:hAnsi="Arial" w:cs="Arial"/>
          <w:color w:val="212121"/>
          <w:shd w:val="clear" w:color="auto" w:fill="FFFFFF"/>
        </w:rPr>
        <w:t>93</w:t>
      </w:r>
      <w:r w:rsidR="004A4F0D" w:rsidRPr="001D2ADB">
        <w:rPr>
          <w:rFonts w:ascii="Arial" w:hAnsi="Arial" w:cs="Arial"/>
          <w:color w:val="212121"/>
          <w:shd w:val="clear" w:color="auto" w:fill="FFFFFF"/>
        </w:rPr>
        <w:t>.</w:t>
      </w:r>
      <w:r w:rsidR="004A4F0D" w:rsidRPr="001D2ADB">
        <w:rPr>
          <w:rFonts w:ascii="Arial" w:hAnsi="Arial" w:cs="Arial"/>
          <w:color w:val="212121"/>
          <w:shd w:val="clear" w:color="auto" w:fill="FFFFFF"/>
        </w:rPr>
        <w:tab/>
      </w:r>
      <w:r w:rsidR="0063360B" w:rsidRPr="001D2ADB">
        <w:rPr>
          <w:rFonts w:ascii="Arial" w:hAnsi="Arial" w:cs="Arial"/>
          <w:color w:val="212121"/>
          <w:shd w:val="clear" w:color="auto" w:fill="FFFFFF"/>
        </w:rPr>
        <w:t xml:space="preserve">Sunil B, Foster C, Wilson DP, Ashraf AP. Novel therapeutic targets and agents for pediatric dyslipidemia. Ther Adv Endocrinol </w:t>
      </w:r>
      <w:proofErr w:type="spellStart"/>
      <w:r w:rsidR="0063360B" w:rsidRPr="001D2ADB">
        <w:rPr>
          <w:rFonts w:ascii="Arial" w:hAnsi="Arial" w:cs="Arial"/>
          <w:color w:val="212121"/>
          <w:shd w:val="clear" w:color="auto" w:fill="FFFFFF"/>
        </w:rPr>
        <w:t>Metab</w:t>
      </w:r>
      <w:proofErr w:type="spellEnd"/>
      <w:r w:rsidR="0063360B" w:rsidRPr="001D2ADB">
        <w:rPr>
          <w:rFonts w:ascii="Arial" w:hAnsi="Arial" w:cs="Arial"/>
          <w:color w:val="212121"/>
          <w:shd w:val="clear" w:color="auto" w:fill="FFFFFF"/>
        </w:rPr>
        <w:t xml:space="preserve">. 2021 Nov </w:t>
      </w:r>
      <w:proofErr w:type="gramStart"/>
      <w:r w:rsidR="0063360B" w:rsidRPr="001D2ADB">
        <w:rPr>
          <w:rFonts w:ascii="Arial" w:hAnsi="Arial" w:cs="Arial"/>
          <w:color w:val="212121"/>
          <w:shd w:val="clear" w:color="auto" w:fill="FFFFFF"/>
        </w:rPr>
        <w:t>24;12:20420188211058323</w:t>
      </w:r>
      <w:proofErr w:type="gramEnd"/>
      <w:r w:rsidR="0063360B" w:rsidRPr="001D2ADB">
        <w:rPr>
          <w:rFonts w:ascii="Arial" w:hAnsi="Arial" w:cs="Arial"/>
          <w:color w:val="212121"/>
          <w:shd w:val="clear" w:color="auto" w:fill="FFFFFF"/>
        </w:rPr>
        <w:t xml:space="preserve">. </w:t>
      </w:r>
      <w:proofErr w:type="spellStart"/>
      <w:r w:rsidR="0063360B" w:rsidRPr="001D2ADB">
        <w:rPr>
          <w:rFonts w:ascii="Arial" w:hAnsi="Arial" w:cs="Arial"/>
          <w:color w:val="212121"/>
          <w:shd w:val="clear" w:color="auto" w:fill="FFFFFF"/>
        </w:rPr>
        <w:t>doi</w:t>
      </w:r>
      <w:proofErr w:type="spellEnd"/>
      <w:r w:rsidR="0063360B" w:rsidRPr="001D2ADB">
        <w:rPr>
          <w:rFonts w:ascii="Arial" w:hAnsi="Arial" w:cs="Arial"/>
          <w:color w:val="212121"/>
          <w:shd w:val="clear" w:color="auto" w:fill="FFFFFF"/>
        </w:rPr>
        <w:t>: 10.1177/20420188211058323. PMID: 34868544; PMCID: PMC8637781.</w:t>
      </w:r>
    </w:p>
    <w:p w14:paraId="3030C9B7" w14:textId="77777777" w:rsidR="00F479B0" w:rsidRPr="001D2ADB" w:rsidRDefault="004A4F0D" w:rsidP="001D2ADB">
      <w:pPr>
        <w:spacing w:after="0"/>
        <w:ind w:left="576" w:hanging="576"/>
        <w:rPr>
          <w:rFonts w:ascii="Arial" w:hAnsi="Arial" w:cs="Arial"/>
        </w:rPr>
      </w:pPr>
      <w:r w:rsidRPr="001D2ADB">
        <w:rPr>
          <w:rFonts w:ascii="Arial" w:hAnsi="Arial" w:cs="Arial"/>
        </w:rPr>
        <w:t>9</w:t>
      </w:r>
      <w:r w:rsidR="006479D3" w:rsidRPr="001D2ADB">
        <w:rPr>
          <w:rFonts w:ascii="Arial" w:hAnsi="Arial" w:cs="Arial"/>
        </w:rPr>
        <w:t>4</w:t>
      </w:r>
      <w:r w:rsidRPr="001D2ADB">
        <w:rPr>
          <w:rFonts w:ascii="Arial" w:hAnsi="Arial" w:cs="Arial"/>
        </w:rPr>
        <w:t>.</w:t>
      </w:r>
      <w:r w:rsidRPr="001D2ADB">
        <w:rPr>
          <w:rFonts w:ascii="Arial" w:hAnsi="Arial" w:cs="Arial"/>
          <w:color w:val="212121"/>
          <w:shd w:val="clear" w:color="auto" w:fill="FFFFFF"/>
        </w:rPr>
        <w:tab/>
      </w:r>
      <w:proofErr w:type="spellStart"/>
      <w:r w:rsidR="00B548E1" w:rsidRPr="001D2ADB">
        <w:rPr>
          <w:rFonts w:ascii="Arial" w:hAnsi="Arial" w:cs="Arial"/>
          <w:color w:val="212121"/>
          <w:shd w:val="clear" w:color="auto" w:fill="FFFFFF"/>
        </w:rPr>
        <w:t>Witztum</w:t>
      </w:r>
      <w:proofErr w:type="spellEnd"/>
      <w:r w:rsidR="00B548E1" w:rsidRPr="001D2ADB">
        <w:rPr>
          <w:rFonts w:ascii="Arial" w:hAnsi="Arial" w:cs="Arial"/>
          <w:color w:val="212121"/>
          <w:shd w:val="clear" w:color="auto" w:fill="FFFFFF"/>
        </w:rPr>
        <w:t xml:space="preserve"> JL, Gaudet D, Freedman SD, Alexander VJ, </w:t>
      </w:r>
      <w:proofErr w:type="spellStart"/>
      <w:r w:rsidR="00B548E1" w:rsidRPr="001D2ADB">
        <w:rPr>
          <w:rFonts w:ascii="Arial" w:hAnsi="Arial" w:cs="Arial"/>
          <w:color w:val="212121"/>
          <w:shd w:val="clear" w:color="auto" w:fill="FFFFFF"/>
        </w:rPr>
        <w:t>Digenio</w:t>
      </w:r>
      <w:proofErr w:type="spellEnd"/>
      <w:r w:rsidR="00B548E1" w:rsidRPr="001D2ADB">
        <w:rPr>
          <w:rFonts w:ascii="Arial" w:hAnsi="Arial" w:cs="Arial"/>
          <w:color w:val="212121"/>
          <w:shd w:val="clear" w:color="auto" w:fill="FFFFFF"/>
        </w:rPr>
        <w:t xml:space="preserve"> A, Williams KR, Yang Q, Hughes SG, Geary RS, Arca M, Stroes ESG, Bergeron J, Soran H, </w:t>
      </w:r>
      <w:proofErr w:type="spellStart"/>
      <w:r w:rsidR="00B548E1" w:rsidRPr="001D2ADB">
        <w:rPr>
          <w:rFonts w:ascii="Arial" w:hAnsi="Arial" w:cs="Arial"/>
          <w:color w:val="212121"/>
          <w:shd w:val="clear" w:color="auto" w:fill="FFFFFF"/>
        </w:rPr>
        <w:t>Civeira</w:t>
      </w:r>
      <w:proofErr w:type="spellEnd"/>
      <w:r w:rsidR="00B548E1" w:rsidRPr="001D2ADB">
        <w:rPr>
          <w:rFonts w:ascii="Arial" w:hAnsi="Arial" w:cs="Arial"/>
          <w:color w:val="212121"/>
          <w:shd w:val="clear" w:color="auto" w:fill="FFFFFF"/>
        </w:rPr>
        <w:t xml:space="preserve"> F, Hemphill L, </w:t>
      </w:r>
      <w:proofErr w:type="spellStart"/>
      <w:r w:rsidR="00B548E1" w:rsidRPr="001D2ADB">
        <w:rPr>
          <w:rFonts w:ascii="Arial" w:hAnsi="Arial" w:cs="Arial"/>
          <w:color w:val="212121"/>
          <w:shd w:val="clear" w:color="auto" w:fill="FFFFFF"/>
        </w:rPr>
        <w:t>Tsimikas</w:t>
      </w:r>
      <w:proofErr w:type="spellEnd"/>
      <w:r w:rsidR="00B548E1" w:rsidRPr="001D2ADB">
        <w:rPr>
          <w:rFonts w:ascii="Arial" w:hAnsi="Arial" w:cs="Arial"/>
          <w:color w:val="212121"/>
          <w:shd w:val="clear" w:color="auto" w:fill="FFFFFF"/>
        </w:rPr>
        <w:t xml:space="preserve"> S, </w:t>
      </w:r>
      <w:proofErr w:type="spellStart"/>
      <w:r w:rsidR="00B548E1" w:rsidRPr="001D2ADB">
        <w:rPr>
          <w:rFonts w:ascii="Arial" w:hAnsi="Arial" w:cs="Arial"/>
          <w:color w:val="212121"/>
          <w:shd w:val="clear" w:color="auto" w:fill="FFFFFF"/>
        </w:rPr>
        <w:t>Blom</w:t>
      </w:r>
      <w:proofErr w:type="spellEnd"/>
      <w:r w:rsidR="00B548E1" w:rsidRPr="001D2ADB">
        <w:rPr>
          <w:rFonts w:ascii="Arial" w:hAnsi="Arial" w:cs="Arial"/>
          <w:color w:val="212121"/>
          <w:shd w:val="clear" w:color="auto" w:fill="FFFFFF"/>
        </w:rPr>
        <w:t xml:space="preserve"> DJ, O'Dea L, Bruckert E. Volanesorsen and Triglyceride Levels in Familial Chylomicronemia Syndrome. N Engl J Med. 2019 Aug 8;381(6):531-542. </w:t>
      </w:r>
      <w:proofErr w:type="spellStart"/>
      <w:r w:rsidR="00B548E1" w:rsidRPr="001D2ADB">
        <w:rPr>
          <w:rFonts w:ascii="Arial" w:hAnsi="Arial" w:cs="Arial"/>
          <w:color w:val="212121"/>
          <w:shd w:val="clear" w:color="auto" w:fill="FFFFFF"/>
        </w:rPr>
        <w:t>doi</w:t>
      </w:r>
      <w:proofErr w:type="spellEnd"/>
      <w:r w:rsidR="00B548E1" w:rsidRPr="001D2ADB">
        <w:rPr>
          <w:rFonts w:ascii="Arial" w:hAnsi="Arial" w:cs="Arial"/>
          <w:color w:val="212121"/>
          <w:shd w:val="clear" w:color="auto" w:fill="FFFFFF"/>
        </w:rPr>
        <w:t>: 10.1056/NEJMoa1715944. PMID: 31390500.</w:t>
      </w:r>
    </w:p>
    <w:p w14:paraId="1CAF870B" w14:textId="77777777" w:rsidR="00F479B0" w:rsidRPr="001D2ADB" w:rsidRDefault="00DE1792" w:rsidP="001D2ADB">
      <w:pPr>
        <w:spacing w:after="0"/>
        <w:ind w:left="576" w:hanging="576"/>
        <w:rPr>
          <w:rFonts w:ascii="Arial" w:hAnsi="Arial" w:cs="Arial"/>
        </w:rPr>
      </w:pPr>
      <w:r w:rsidRPr="001D2ADB">
        <w:rPr>
          <w:rFonts w:ascii="Arial" w:hAnsi="Arial" w:cs="Arial"/>
        </w:rPr>
        <w:t>9</w:t>
      </w:r>
      <w:r w:rsidR="006479D3" w:rsidRPr="001D2ADB">
        <w:rPr>
          <w:rFonts w:ascii="Arial" w:hAnsi="Arial" w:cs="Arial"/>
        </w:rPr>
        <w:t>5</w:t>
      </w:r>
      <w:r w:rsidRPr="001D2ADB">
        <w:rPr>
          <w:rFonts w:ascii="Arial" w:hAnsi="Arial" w:cs="Arial"/>
        </w:rPr>
        <w:t>.</w:t>
      </w:r>
      <w:r w:rsidRPr="001D2ADB">
        <w:rPr>
          <w:rFonts w:ascii="Arial" w:hAnsi="Arial" w:cs="Arial"/>
          <w:color w:val="212121"/>
          <w:shd w:val="clear" w:color="auto" w:fill="FFFFFF"/>
        </w:rPr>
        <w:tab/>
        <w:t xml:space="preserve">Kolovou G, Kolovou V, </w:t>
      </w:r>
      <w:proofErr w:type="spellStart"/>
      <w:r w:rsidRPr="001D2ADB">
        <w:rPr>
          <w:rFonts w:ascii="Arial" w:hAnsi="Arial" w:cs="Arial"/>
          <w:color w:val="212121"/>
          <w:shd w:val="clear" w:color="auto" w:fill="FFFFFF"/>
        </w:rPr>
        <w:t>Katsiki</w:t>
      </w:r>
      <w:proofErr w:type="spellEnd"/>
      <w:r w:rsidRPr="001D2ADB">
        <w:rPr>
          <w:rFonts w:ascii="Arial" w:hAnsi="Arial" w:cs="Arial"/>
          <w:color w:val="212121"/>
          <w:shd w:val="clear" w:color="auto" w:fill="FFFFFF"/>
        </w:rPr>
        <w:t xml:space="preserve"> N. Volanesorsen: A New Era in the Treatment of Severe Hypertriglyceridemia. J Clin Med. 2022 Feb 13;11(4):982. </w:t>
      </w:r>
      <w:proofErr w:type="spellStart"/>
      <w:r w:rsidRPr="001D2ADB">
        <w:rPr>
          <w:rFonts w:ascii="Arial" w:hAnsi="Arial" w:cs="Arial"/>
          <w:color w:val="212121"/>
          <w:shd w:val="clear" w:color="auto" w:fill="FFFFFF"/>
        </w:rPr>
        <w:t>doi</w:t>
      </w:r>
      <w:proofErr w:type="spellEnd"/>
      <w:r w:rsidRPr="001D2ADB">
        <w:rPr>
          <w:rFonts w:ascii="Arial" w:hAnsi="Arial" w:cs="Arial"/>
          <w:color w:val="212121"/>
          <w:shd w:val="clear" w:color="auto" w:fill="FFFFFF"/>
        </w:rPr>
        <w:t>: 10.3390/jcm11040982. PMID: 35207255; PMCID: PMC8880470.</w:t>
      </w:r>
    </w:p>
    <w:p w14:paraId="227627BF" w14:textId="77777777" w:rsidR="00F479B0" w:rsidRPr="001D2ADB" w:rsidRDefault="00DE1792" w:rsidP="001D2ADB">
      <w:pPr>
        <w:spacing w:after="0"/>
        <w:ind w:left="576" w:hanging="576"/>
        <w:rPr>
          <w:rFonts w:ascii="Arial" w:hAnsi="Arial" w:cs="Arial"/>
        </w:rPr>
      </w:pPr>
      <w:r w:rsidRPr="001D2ADB">
        <w:rPr>
          <w:rFonts w:ascii="Arial" w:hAnsi="Arial" w:cs="Arial"/>
        </w:rPr>
        <w:t>9</w:t>
      </w:r>
      <w:r w:rsidR="006479D3" w:rsidRPr="001D2ADB">
        <w:rPr>
          <w:rFonts w:ascii="Arial" w:hAnsi="Arial" w:cs="Arial"/>
        </w:rPr>
        <w:t>6</w:t>
      </w:r>
      <w:r w:rsidRPr="001D2ADB">
        <w:rPr>
          <w:rFonts w:ascii="Arial" w:hAnsi="Arial" w:cs="Arial"/>
        </w:rPr>
        <w:t>.</w:t>
      </w:r>
      <w:r w:rsidRPr="001D2ADB">
        <w:rPr>
          <w:rFonts w:ascii="Arial" w:hAnsi="Arial" w:cs="Arial"/>
          <w:color w:val="212121"/>
          <w:shd w:val="clear" w:color="auto" w:fill="FFFFFF"/>
        </w:rPr>
        <w:tab/>
        <w:t xml:space="preserve">Esan O, Wierzbicki AS. Volanesorsen in the Treatment of Familial Chylomicronemia Syndrome or </w:t>
      </w:r>
      <w:proofErr w:type="spellStart"/>
      <w:r w:rsidRPr="001D2ADB">
        <w:rPr>
          <w:rFonts w:ascii="Arial" w:hAnsi="Arial" w:cs="Arial"/>
          <w:color w:val="212121"/>
          <w:shd w:val="clear" w:color="auto" w:fill="FFFFFF"/>
        </w:rPr>
        <w:t>Hypertriglyceridaemia</w:t>
      </w:r>
      <w:proofErr w:type="spellEnd"/>
      <w:r w:rsidRPr="001D2ADB">
        <w:rPr>
          <w:rFonts w:ascii="Arial" w:hAnsi="Arial" w:cs="Arial"/>
          <w:color w:val="212121"/>
          <w:shd w:val="clear" w:color="auto" w:fill="FFFFFF"/>
        </w:rPr>
        <w:t xml:space="preserve">: Design, Development and Place in Therapy. Drug Des Devel Ther. 2020 Jul </w:t>
      </w:r>
      <w:proofErr w:type="gramStart"/>
      <w:r w:rsidRPr="001D2ADB">
        <w:rPr>
          <w:rFonts w:ascii="Arial" w:hAnsi="Arial" w:cs="Arial"/>
          <w:color w:val="212121"/>
          <w:shd w:val="clear" w:color="auto" w:fill="FFFFFF"/>
        </w:rPr>
        <w:t>6;14:2623</w:t>
      </w:r>
      <w:proofErr w:type="gramEnd"/>
      <w:r w:rsidRPr="001D2ADB">
        <w:rPr>
          <w:rFonts w:ascii="Arial" w:hAnsi="Arial" w:cs="Arial"/>
          <w:color w:val="212121"/>
          <w:shd w:val="clear" w:color="auto" w:fill="FFFFFF"/>
        </w:rPr>
        <w:t xml:space="preserve">-2636. </w:t>
      </w:r>
      <w:proofErr w:type="spellStart"/>
      <w:r w:rsidRPr="001D2ADB">
        <w:rPr>
          <w:rFonts w:ascii="Arial" w:hAnsi="Arial" w:cs="Arial"/>
          <w:color w:val="212121"/>
          <w:shd w:val="clear" w:color="auto" w:fill="FFFFFF"/>
        </w:rPr>
        <w:t>doi</w:t>
      </w:r>
      <w:proofErr w:type="spellEnd"/>
      <w:r w:rsidRPr="001D2ADB">
        <w:rPr>
          <w:rFonts w:ascii="Arial" w:hAnsi="Arial" w:cs="Arial"/>
          <w:color w:val="212121"/>
          <w:shd w:val="clear" w:color="auto" w:fill="FFFFFF"/>
        </w:rPr>
        <w:t>: 10.2147/DDDT.S224771. PMID: 32753844; PMCID: PMC7351689.</w:t>
      </w:r>
    </w:p>
    <w:p w14:paraId="085391A8" w14:textId="77777777" w:rsidR="00F479B0" w:rsidRPr="001D2ADB" w:rsidRDefault="00DE1792" w:rsidP="001D2ADB">
      <w:pPr>
        <w:spacing w:after="0"/>
        <w:ind w:left="576" w:hanging="576"/>
        <w:rPr>
          <w:rFonts w:ascii="Arial" w:hAnsi="Arial" w:cs="Arial"/>
        </w:rPr>
      </w:pPr>
      <w:r w:rsidRPr="001D2ADB">
        <w:rPr>
          <w:rFonts w:ascii="Arial" w:hAnsi="Arial" w:cs="Arial"/>
        </w:rPr>
        <w:t>9</w:t>
      </w:r>
      <w:r w:rsidR="006479D3" w:rsidRPr="001D2ADB">
        <w:rPr>
          <w:rFonts w:ascii="Arial" w:hAnsi="Arial" w:cs="Arial"/>
        </w:rPr>
        <w:t>7</w:t>
      </w:r>
      <w:r w:rsidRPr="001D2ADB">
        <w:rPr>
          <w:rFonts w:ascii="Arial" w:hAnsi="Arial" w:cs="Arial"/>
        </w:rPr>
        <w:t>.</w:t>
      </w:r>
      <w:r w:rsidRPr="001D2ADB">
        <w:rPr>
          <w:rFonts w:ascii="Arial" w:hAnsi="Arial" w:cs="Arial"/>
          <w:color w:val="212121"/>
          <w:shd w:val="clear" w:color="auto" w:fill="FFFFFF"/>
        </w:rPr>
        <w:tab/>
        <w:t xml:space="preserve">Gelrud A, </w:t>
      </w:r>
      <w:proofErr w:type="spellStart"/>
      <w:r w:rsidRPr="001D2ADB">
        <w:rPr>
          <w:rFonts w:ascii="Arial" w:hAnsi="Arial" w:cs="Arial"/>
          <w:color w:val="212121"/>
          <w:shd w:val="clear" w:color="auto" w:fill="FFFFFF"/>
        </w:rPr>
        <w:t>Digenio</w:t>
      </w:r>
      <w:proofErr w:type="spellEnd"/>
      <w:r w:rsidRPr="001D2ADB">
        <w:rPr>
          <w:rFonts w:ascii="Arial" w:hAnsi="Arial" w:cs="Arial"/>
          <w:color w:val="212121"/>
          <w:shd w:val="clear" w:color="auto" w:fill="FFFFFF"/>
        </w:rPr>
        <w:t xml:space="preserve"> A, Alexander V, et al. Treatment with Volanesorsen (VLN) Reduced Triglycerides and Pancreatitis in Patients with FCS and </w:t>
      </w:r>
      <w:proofErr w:type="spellStart"/>
      <w:r w:rsidRPr="001D2ADB">
        <w:rPr>
          <w:rFonts w:ascii="Arial" w:hAnsi="Arial" w:cs="Arial"/>
          <w:color w:val="212121"/>
          <w:shd w:val="clear" w:color="auto" w:fill="FFFFFF"/>
        </w:rPr>
        <w:t>sHTG</w:t>
      </w:r>
      <w:proofErr w:type="spellEnd"/>
      <w:r w:rsidRPr="001D2ADB">
        <w:rPr>
          <w:rFonts w:ascii="Arial" w:hAnsi="Arial" w:cs="Arial"/>
          <w:color w:val="212121"/>
          <w:shd w:val="clear" w:color="auto" w:fill="FFFFFF"/>
        </w:rPr>
        <w:t xml:space="preserve"> vs Placebo: results of the APPROACH and COMPASS </w:t>
      </w:r>
      <w:r w:rsidRPr="001D2ADB">
        <w:rPr>
          <w:rFonts w:ascii="Arial" w:hAnsi="Arial" w:cs="Arial"/>
          <w:color w:val="212121"/>
          <w:shd w:val="clear" w:color="auto" w:fill="FFFFFF"/>
          <w:vertAlign w:val="superscript"/>
        </w:rPr>
        <w:t>†</w:t>
      </w:r>
      <w:r w:rsidRPr="001D2ADB">
        <w:rPr>
          <w:rFonts w:ascii="Arial" w:hAnsi="Arial" w:cs="Arial"/>
          <w:color w:val="212121"/>
          <w:shd w:val="clear" w:color="auto" w:fill="FFFFFF"/>
        </w:rPr>
        <w:t>. </w:t>
      </w:r>
      <w:r w:rsidRPr="001D2ADB">
        <w:rPr>
          <w:rFonts w:ascii="Arial" w:hAnsi="Arial" w:cs="Arial"/>
          <w:i/>
          <w:iCs/>
          <w:color w:val="212121"/>
          <w:shd w:val="clear" w:color="auto" w:fill="FFFFFF"/>
        </w:rPr>
        <w:t xml:space="preserve">J Clin </w:t>
      </w:r>
      <w:proofErr w:type="spellStart"/>
      <w:r w:rsidRPr="001D2ADB">
        <w:rPr>
          <w:rFonts w:ascii="Arial" w:hAnsi="Arial" w:cs="Arial"/>
          <w:i/>
          <w:iCs/>
          <w:color w:val="212121"/>
          <w:shd w:val="clear" w:color="auto" w:fill="FFFFFF"/>
        </w:rPr>
        <w:t>Lipidol</w:t>
      </w:r>
      <w:proofErr w:type="spellEnd"/>
      <w:r w:rsidRPr="001D2ADB">
        <w:rPr>
          <w:rFonts w:ascii="Arial" w:hAnsi="Arial" w:cs="Arial"/>
          <w:color w:val="212121"/>
          <w:shd w:val="clear" w:color="auto" w:fill="FFFFFF"/>
        </w:rPr>
        <w:t>. 2018;</w:t>
      </w:r>
      <w:r w:rsidRPr="001D2ADB">
        <w:rPr>
          <w:rFonts w:ascii="Arial" w:hAnsi="Arial" w:cs="Arial"/>
          <w:bCs/>
          <w:color w:val="212121"/>
          <w:shd w:val="clear" w:color="auto" w:fill="FFFFFF"/>
        </w:rPr>
        <w:t>12</w:t>
      </w:r>
      <w:r w:rsidRPr="001D2ADB">
        <w:rPr>
          <w:rFonts w:ascii="Arial" w:hAnsi="Arial" w:cs="Arial"/>
          <w:color w:val="212121"/>
          <w:shd w:val="clear" w:color="auto" w:fill="FFFFFF"/>
        </w:rPr>
        <w:t xml:space="preserve">(2):537. </w:t>
      </w:r>
      <w:proofErr w:type="spellStart"/>
      <w:r w:rsidRPr="001D2ADB">
        <w:rPr>
          <w:rFonts w:ascii="Arial" w:hAnsi="Arial" w:cs="Arial"/>
          <w:color w:val="212121"/>
          <w:shd w:val="clear" w:color="auto" w:fill="FFFFFF"/>
        </w:rPr>
        <w:t>doi</w:t>
      </w:r>
      <w:proofErr w:type="spellEnd"/>
      <w:r w:rsidRPr="001D2ADB">
        <w:rPr>
          <w:rFonts w:ascii="Arial" w:hAnsi="Arial" w:cs="Arial"/>
          <w:color w:val="212121"/>
          <w:shd w:val="clear" w:color="auto" w:fill="FFFFFF"/>
        </w:rPr>
        <w:t>: 10.1016/j.jacl.2018.03.032</w:t>
      </w:r>
    </w:p>
    <w:p w14:paraId="72D95C88" w14:textId="09078319" w:rsidR="00DE1792" w:rsidRPr="001D2ADB" w:rsidRDefault="004A4F0D" w:rsidP="001D2ADB">
      <w:pPr>
        <w:spacing w:after="0"/>
        <w:ind w:left="576" w:hanging="576"/>
        <w:rPr>
          <w:rFonts w:ascii="Arial" w:hAnsi="Arial" w:cs="Arial"/>
        </w:rPr>
      </w:pPr>
      <w:r w:rsidRPr="001D2ADB">
        <w:rPr>
          <w:rFonts w:ascii="Arial" w:hAnsi="Arial" w:cs="Arial"/>
        </w:rPr>
        <w:lastRenderedPageBreak/>
        <w:t>9</w:t>
      </w:r>
      <w:r w:rsidR="006479D3" w:rsidRPr="001D2ADB">
        <w:rPr>
          <w:rFonts w:ascii="Arial" w:hAnsi="Arial" w:cs="Arial"/>
        </w:rPr>
        <w:t>8</w:t>
      </w:r>
      <w:r w:rsidRPr="001D2ADB">
        <w:rPr>
          <w:rFonts w:ascii="Arial" w:hAnsi="Arial" w:cs="Arial"/>
        </w:rPr>
        <w:t>.</w:t>
      </w:r>
      <w:r w:rsidRPr="001D2ADB">
        <w:rPr>
          <w:rFonts w:ascii="Arial" w:hAnsi="Arial" w:cs="Arial"/>
          <w:color w:val="212121"/>
          <w:shd w:val="clear" w:color="auto" w:fill="FFFFFF"/>
        </w:rPr>
        <w:tab/>
      </w:r>
      <w:r w:rsidR="00B548E1" w:rsidRPr="001D2ADB">
        <w:rPr>
          <w:rFonts w:ascii="Arial" w:hAnsi="Arial" w:cs="Arial"/>
          <w:color w:val="212121"/>
          <w:shd w:val="clear" w:color="auto" w:fill="FFFFFF"/>
        </w:rPr>
        <w:t xml:space="preserve">Kohan AB. Apolipoprotein C-III: a potent modulator of hypertriglyceridemia and cardiovascular disease. </w:t>
      </w:r>
      <w:proofErr w:type="spellStart"/>
      <w:r w:rsidR="00B548E1" w:rsidRPr="001D2ADB">
        <w:rPr>
          <w:rFonts w:ascii="Arial" w:hAnsi="Arial" w:cs="Arial"/>
          <w:color w:val="212121"/>
          <w:shd w:val="clear" w:color="auto" w:fill="FFFFFF"/>
        </w:rPr>
        <w:t>Curr</w:t>
      </w:r>
      <w:proofErr w:type="spellEnd"/>
      <w:r w:rsidR="00B548E1" w:rsidRPr="001D2ADB">
        <w:rPr>
          <w:rFonts w:ascii="Arial" w:hAnsi="Arial" w:cs="Arial"/>
          <w:color w:val="212121"/>
          <w:shd w:val="clear" w:color="auto" w:fill="FFFFFF"/>
        </w:rPr>
        <w:t xml:space="preserve"> </w:t>
      </w:r>
      <w:proofErr w:type="spellStart"/>
      <w:r w:rsidR="00B548E1" w:rsidRPr="001D2ADB">
        <w:rPr>
          <w:rFonts w:ascii="Arial" w:hAnsi="Arial" w:cs="Arial"/>
          <w:color w:val="212121"/>
          <w:shd w:val="clear" w:color="auto" w:fill="FFFFFF"/>
        </w:rPr>
        <w:t>Opin</w:t>
      </w:r>
      <w:proofErr w:type="spellEnd"/>
      <w:r w:rsidR="00B548E1" w:rsidRPr="001D2ADB">
        <w:rPr>
          <w:rFonts w:ascii="Arial" w:hAnsi="Arial" w:cs="Arial"/>
          <w:color w:val="212121"/>
          <w:shd w:val="clear" w:color="auto" w:fill="FFFFFF"/>
        </w:rPr>
        <w:t xml:space="preserve"> Endocrinol Diabetes </w:t>
      </w:r>
      <w:proofErr w:type="spellStart"/>
      <w:r w:rsidR="00B548E1" w:rsidRPr="001D2ADB">
        <w:rPr>
          <w:rFonts w:ascii="Arial" w:hAnsi="Arial" w:cs="Arial"/>
          <w:color w:val="212121"/>
          <w:shd w:val="clear" w:color="auto" w:fill="FFFFFF"/>
        </w:rPr>
        <w:t>Obes</w:t>
      </w:r>
      <w:proofErr w:type="spellEnd"/>
      <w:r w:rsidR="00B548E1" w:rsidRPr="001D2ADB">
        <w:rPr>
          <w:rFonts w:ascii="Arial" w:hAnsi="Arial" w:cs="Arial"/>
          <w:color w:val="212121"/>
          <w:shd w:val="clear" w:color="auto" w:fill="FFFFFF"/>
        </w:rPr>
        <w:t xml:space="preserve">. 2015 Apr;22(2):119-25. </w:t>
      </w:r>
      <w:proofErr w:type="spellStart"/>
      <w:r w:rsidR="00B548E1" w:rsidRPr="001D2ADB">
        <w:rPr>
          <w:rFonts w:ascii="Arial" w:hAnsi="Arial" w:cs="Arial"/>
          <w:color w:val="212121"/>
          <w:shd w:val="clear" w:color="auto" w:fill="FFFFFF"/>
        </w:rPr>
        <w:t>doi</w:t>
      </w:r>
      <w:proofErr w:type="spellEnd"/>
      <w:r w:rsidR="00B548E1" w:rsidRPr="001D2ADB">
        <w:rPr>
          <w:rFonts w:ascii="Arial" w:hAnsi="Arial" w:cs="Arial"/>
          <w:color w:val="212121"/>
          <w:shd w:val="clear" w:color="auto" w:fill="FFFFFF"/>
        </w:rPr>
        <w:t>: 10.1097/MED.0000000000000136. PMID: 25692924; PMCID: PMC4524519.</w:t>
      </w:r>
      <w:bookmarkEnd w:id="7"/>
    </w:p>
    <w:sectPr w:rsidR="00DE1792" w:rsidRPr="001D2ADB" w:rsidSect="00B2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6C3"/>
    <w:multiLevelType w:val="hybridMultilevel"/>
    <w:tmpl w:val="E8D4A8B8"/>
    <w:lvl w:ilvl="0" w:tplc="4288C09E">
      <w:start w:val="1"/>
      <w:numFmt w:val="bullet"/>
      <w:lvlText w:val="•"/>
      <w:lvlJc w:val="left"/>
      <w:pPr>
        <w:tabs>
          <w:tab w:val="num" w:pos="360"/>
        </w:tabs>
        <w:ind w:left="360" w:hanging="360"/>
      </w:pPr>
      <w:rPr>
        <w:rFonts w:ascii="Arial" w:hAnsi="Arial" w:hint="default"/>
      </w:rPr>
    </w:lvl>
    <w:lvl w:ilvl="1" w:tplc="07C8CB6A" w:tentative="1">
      <w:start w:val="1"/>
      <w:numFmt w:val="bullet"/>
      <w:lvlText w:val="•"/>
      <w:lvlJc w:val="left"/>
      <w:pPr>
        <w:tabs>
          <w:tab w:val="num" w:pos="1080"/>
        </w:tabs>
        <w:ind w:left="1080" w:hanging="360"/>
      </w:pPr>
      <w:rPr>
        <w:rFonts w:ascii="Arial" w:hAnsi="Arial" w:hint="default"/>
      </w:rPr>
    </w:lvl>
    <w:lvl w:ilvl="2" w:tplc="2B36082A" w:tentative="1">
      <w:start w:val="1"/>
      <w:numFmt w:val="bullet"/>
      <w:lvlText w:val="•"/>
      <w:lvlJc w:val="left"/>
      <w:pPr>
        <w:tabs>
          <w:tab w:val="num" w:pos="1800"/>
        </w:tabs>
        <w:ind w:left="1800" w:hanging="360"/>
      </w:pPr>
      <w:rPr>
        <w:rFonts w:ascii="Arial" w:hAnsi="Arial" w:hint="default"/>
      </w:rPr>
    </w:lvl>
    <w:lvl w:ilvl="3" w:tplc="98E2ABE0" w:tentative="1">
      <w:start w:val="1"/>
      <w:numFmt w:val="bullet"/>
      <w:lvlText w:val="•"/>
      <w:lvlJc w:val="left"/>
      <w:pPr>
        <w:tabs>
          <w:tab w:val="num" w:pos="2520"/>
        </w:tabs>
        <w:ind w:left="2520" w:hanging="360"/>
      </w:pPr>
      <w:rPr>
        <w:rFonts w:ascii="Arial" w:hAnsi="Arial" w:hint="default"/>
      </w:rPr>
    </w:lvl>
    <w:lvl w:ilvl="4" w:tplc="581A31B4" w:tentative="1">
      <w:start w:val="1"/>
      <w:numFmt w:val="bullet"/>
      <w:lvlText w:val="•"/>
      <w:lvlJc w:val="left"/>
      <w:pPr>
        <w:tabs>
          <w:tab w:val="num" w:pos="3240"/>
        </w:tabs>
        <w:ind w:left="3240" w:hanging="360"/>
      </w:pPr>
      <w:rPr>
        <w:rFonts w:ascii="Arial" w:hAnsi="Arial" w:hint="default"/>
      </w:rPr>
    </w:lvl>
    <w:lvl w:ilvl="5" w:tplc="4DB22DCA" w:tentative="1">
      <w:start w:val="1"/>
      <w:numFmt w:val="bullet"/>
      <w:lvlText w:val="•"/>
      <w:lvlJc w:val="left"/>
      <w:pPr>
        <w:tabs>
          <w:tab w:val="num" w:pos="3960"/>
        </w:tabs>
        <w:ind w:left="3960" w:hanging="360"/>
      </w:pPr>
      <w:rPr>
        <w:rFonts w:ascii="Arial" w:hAnsi="Arial" w:hint="default"/>
      </w:rPr>
    </w:lvl>
    <w:lvl w:ilvl="6" w:tplc="FC8C4BC8" w:tentative="1">
      <w:start w:val="1"/>
      <w:numFmt w:val="bullet"/>
      <w:lvlText w:val="•"/>
      <w:lvlJc w:val="left"/>
      <w:pPr>
        <w:tabs>
          <w:tab w:val="num" w:pos="4680"/>
        </w:tabs>
        <w:ind w:left="4680" w:hanging="360"/>
      </w:pPr>
      <w:rPr>
        <w:rFonts w:ascii="Arial" w:hAnsi="Arial" w:hint="default"/>
      </w:rPr>
    </w:lvl>
    <w:lvl w:ilvl="7" w:tplc="BA2A67B0" w:tentative="1">
      <w:start w:val="1"/>
      <w:numFmt w:val="bullet"/>
      <w:lvlText w:val="•"/>
      <w:lvlJc w:val="left"/>
      <w:pPr>
        <w:tabs>
          <w:tab w:val="num" w:pos="5400"/>
        </w:tabs>
        <w:ind w:left="5400" w:hanging="360"/>
      </w:pPr>
      <w:rPr>
        <w:rFonts w:ascii="Arial" w:hAnsi="Arial" w:hint="default"/>
      </w:rPr>
    </w:lvl>
    <w:lvl w:ilvl="8" w:tplc="25FCB86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7350F01"/>
    <w:multiLevelType w:val="hybridMultilevel"/>
    <w:tmpl w:val="E5208AAA"/>
    <w:lvl w:ilvl="0" w:tplc="444C8FBE">
      <w:start w:val="1"/>
      <w:numFmt w:val="decimal"/>
      <w:lvlText w:val="%1)"/>
      <w:lvlJc w:val="left"/>
      <w:pPr>
        <w:ind w:left="720" w:hanging="720"/>
      </w:pPr>
      <w:rPr>
        <w:rFonts w:hint="default"/>
        <w:color w:val="21212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5687C"/>
    <w:multiLevelType w:val="hybridMultilevel"/>
    <w:tmpl w:val="B2BEB7FA"/>
    <w:lvl w:ilvl="0" w:tplc="0409000F">
      <w:start w:val="1"/>
      <w:numFmt w:val="decimal"/>
      <w:lvlText w:val="%1."/>
      <w:lvlJc w:val="left"/>
      <w:pPr>
        <w:tabs>
          <w:tab w:val="num" w:pos="720"/>
        </w:tabs>
        <w:ind w:left="720" w:hanging="360"/>
      </w:pPr>
      <w:rPr>
        <w:rFonts w:cs="Times New Roman" w:hint="default"/>
      </w:rPr>
    </w:lvl>
    <w:lvl w:ilvl="1" w:tplc="69B6E068">
      <w:start w:val="20"/>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392012"/>
    <w:multiLevelType w:val="hybridMultilevel"/>
    <w:tmpl w:val="09A42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44CCB"/>
    <w:multiLevelType w:val="hybridMultilevel"/>
    <w:tmpl w:val="B6603506"/>
    <w:lvl w:ilvl="0" w:tplc="91C0E064">
      <w:start w:val="1"/>
      <w:numFmt w:val="bullet"/>
      <w:lvlText w:val="•"/>
      <w:lvlJc w:val="left"/>
      <w:pPr>
        <w:tabs>
          <w:tab w:val="num" w:pos="360"/>
        </w:tabs>
        <w:ind w:left="360" w:hanging="360"/>
      </w:pPr>
      <w:rPr>
        <w:rFonts w:ascii="Arial" w:hAnsi="Arial" w:hint="default"/>
      </w:rPr>
    </w:lvl>
    <w:lvl w:ilvl="1" w:tplc="15247B36" w:tentative="1">
      <w:start w:val="1"/>
      <w:numFmt w:val="bullet"/>
      <w:lvlText w:val="•"/>
      <w:lvlJc w:val="left"/>
      <w:pPr>
        <w:tabs>
          <w:tab w:val="num" w:pos="1080"/>
        </w:tabs>
        <w:ind w:left="1080" w:hanging="360"/>
      </w:pPr>
      <w:rPr>
        <w:rFonts w:ascii="Arial" w:hAnsi="Arial" w:hint="default"/>
      </w:rPr>
    </w:lvl>
    <w:lvl w:ilvl="2" w:tplc="6B5C1B6A" w:tentative="1">
      <w:start w:val="1"/>
      <w:numFmt w:val="bullet"/>
      <w:lvlText w:val="•"/>
      <w:lvlJc w:val="left"/>
      <w:pPr>
        <w:tabs>
          <w:tab w:val="num" w:pos="1800"/>
        </w:tabs>
        <w:ind w:left="1800" w:hanging="360"/>
      </w:pPr>
      <w:rPr>
        <w:rFonts w:ascii="Arial" w:hAnsi="Arial" w:hint="default"/>
      </w:rPr>
    </w:lvl>
    <w:lvl w:ilvl="3" w:tplc="005884AC" w:tentative="1">
      <w:start w:val="1"/>
      <w:numFmt w:val="bullet"/>
      <w:lvlText w:val="•"/>
      <w:lvlJc w:val="left"/>
      <w:pPr>
        <w:tabs>
          <w:tab w:val="num" w:pos="2520"/>
        </w:tabs>
        <w:ind w:left="2520" w:hanging="360"/>
      </w:pPr>
      <w:rPr>
        <w:rFonts w:ascii="Arial" w:hAnsi="Arial" w:hint="default"/>
      </w:rPr>
    </w:lvl>
    <w:lvl w:ilvl="4" w:tplc="2DD25500" w:tentative="1">
      <w:start w:val="1"/>
      <w:numFmt w:val="bullet"/>
      <w:lvlText w:val="•"/>
      <w:lvlJc w:val="left"/>
      <w:pPr>
        <w:tabs>
          <w:tab w:val="num" w:pos="3240"/>
        </w:tabs>
        <w:ind w:left="3240" w:hanging="360"/>
      </w:pPr>
      <w:rPr>
        <w:rFonts w:ascii="Arial" w:hAnsi="Arial" w:hint="default"/>
      </w:rPr>
    </w:lvl>
    <w:lvl w:ilvl="5" w:tplc="4C90962E" w:tentative="1">
      <w:start w:val="1"/>
      <w:numFmt w:val="bullet"/>
      <w:lvlText w:val="•"/>
      <w:lvlJc w:val="left"/>
      <w:pPr>
        <w:tabs>
          <w:tab w:val="num" w:pos="3960"/>
        </w:tabs>
        <w:ind w:left="3960" w:hanging="360"/>
      </w:pPr>
      <w:rPr>
        <w:rFonts w:ascii="Arial" w:hAnsi="Arial" w:hint="default"/>
      </w:rPr>
    </w:lvl>
    <w:lvl w:ilvl="6" w:tplc="065080F0" w:tentative="1">
      <w:start w:val="1"/>
      <w:numFmt w:val="bullet"/>
      <w:lvlText w:val="•"/>
      <w:lvlJc w:val="left"/>
      <w:pPr>
        <w:tabs>
          <w:tab w:val="num" w:pos="4680"/>
        </w:tabs>
        <w:ind w:left="4680" w:hanging="360"/>
      </w:pPr>
      <w:rPr>
        <w:rFonts w:ascii="Arial" w:hAnsi="Arial" w:hint="default"/>
      </w:rPr>
    </w:lvl>
    <w:lvl w:ilvl="7" w:tplc="F7E806CE" w:tentative="1">
      <w:start w:val="1"/>
      <w:numFmt w:val="bullet"/>
      <w:lvlText w:val="•"/>
      <w:lvlJc w:val="left"/>
      <w:pPr>
        <w:tabs>
          <w:tab w:val="num" w:pos="5400"/>
        </w:tabs>
        <w:ind w:left="5400" w:hanging="360"/>
      </w:pPr>
      <w:rPr>
        <w:rFonts w:ascii="Arial" w:hAnsi="Arial" w:hint="default"/>
      </w:rPr>
    </w:lvl>
    <w:lvl w:ilvl="8" w:tplc="5740B1D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2167610"/>
    <w:multiLevelType w:val="hybridMultilevel"/>
    <w:tmpl w:val="3D928F3E"/>
    <w:lvl w:ilvl="0" w:tplc="A5345556">
      <w:start w:val="1"/>
      <w:numFmt w:val="bullet"/>
      <w:lvlText w:val="•"/>
      <w:lvlJc w:val="left"/>
      <w:pPr>
        <w:tabs>
          <w:tab w:val="num" w:pos="360"/>
        </w:tabs>
        <w:ind w:left="360" w:hanging="360"/>
      </w:pPr>
      <w:rPr>
        <w:rFonts w:ascii="Arial" w:hAnsi="Arial" w:hint="default"/>
      </w:rPr>
    </w:lvl>
    <w:lvl w:ilvl="1" w:tplc="142E871A" w:tentative="1">
      <w:start w:val="1"/>
      <w:numFmt w:val="bullet"/>
      <w:lvlText w:val="•"/>
      <w:lvlJc w:val="left"/>
      <w:pPr>
        <w:tabs>
          <w:tab w:val="num" w:pos="1080"/>
        </w:tabs>
        <w:ind w:left="1080" w:hanging="360"/>
      </w:pPr>
      <w:rPr>
        <w:rFonts w:ascii="Arial" w:hAnsi="Arial" w:hint="default"/>
      </w:rPr>
    </w:lvl>
    <w:lvl w:ilvl="2" w:tplc="5D666874" w:tentative="1">
      <w:start w:val="1"/>
      <w:numFmt w:val="bullet"/>
      <w:lvlText w:val="•"/>
      <w:lvlJc w:val="left"/>
      <w:pPr>
        <w:tabs>
          <w:tab w:val="num" w:pos="1800"/>
        </w:tabs>
        <w:ind w:left="1800" w:hanging="360"/>
      </w:pPr>
      <w:rPr>
        <w:rFonts w:ascii="Arial" w:hAnsi="Arial" w:hint="default"/>
      </w:rPr>
    </w:lvl>
    <w:lvl w:ilvl="3" w:tplc="C3D413F0" w:tentative="1">
      <w:start w:val="1"/>
      <w:numFmt w:val="bullet"/>
      <w:lvlText w:val="•"/>
      <w:lvlJc w:val="left"/>
      <w:pPr>
        <w:tabs>
          <w:tab w:val="num" w:pos="2520"/>
        </w:tabs>
        <w:ind w:left="2520" w:hanging="360"/>
      </w:pPr>
      <w:rPr>
        <w:rFonts w:ascii="Arial" w:hAnsi="Arial" w:hint="default"/>
      </w:rPr>
    </w:lvl>
    <w:lvl w:ilvl="4" w:tplc="27146E24" w:tentative="1">
      <w:start w:val="1"/>
      <w:numFmt w:val="bullet"/>
      <w:lvlText w:val="•"/>
      <w:lvlJc w:val="left"/>
      <w:pPr>
        <w:tabs>
          <w:tab w:val="num" w:pos="3240"/>
        </w:tabs>
        <w:ind w:left="3240" w:hanging="360"/>
      </w:pPr>
      <w:rPr>
        <w:rFonts w:ascii="Arial" w:hAnsi="Arial" w:hint="default"/>
      </w:rPr>
    </w:lvl>
    <w:lvl w:ilvl="5" w:tplc="FD485C6C" w:tentative="1">
      <w:start w:val="1"/>
      <w:numFmt w:val="bullet"/>
      <w:lvlText w:val="•"/>
      <w:lvlJc w:val="left"/>
      <w:pPr>
        <w:tabs>
          <w:tab w:val="num" w:pos="3960"/>
        </w:tabs>
        <w:ind w:left="3960" w:hanging="360"/>
      </w:pPr>
      <w:rPr>
        <w:rFonts w:ascii="Arial" w:hAnsi="Arial" w:hint="default"/>
      </w:rPr>
    </w:lvl>
    <w:lvl w:ilvl="6" w:tplc="3510012E" w:tentative="1">
      <w:start w:val="1"/>
      <w:numFmt w:val="bullet"/>
      <w:lvlText w:val="•"/>
      <w:lvlJc w:val="left"/>
      <w:pPr>
        <w:tabs>
          <w:tab w:val="num" w:pos="4680"/>
        </w:tabs>
        <w:ind w:left="4680" w:hanging="360"/>
      </w:pPr>
      <w:rPr>
        <w:rFonts w:ascii="Arial" w:hAnsi="Arial" w:hint="default"/>
      </w:rPr>
    </w:lvl>
    <w:lvl w:ilvl="7" w:tplc="C1FA1694" w:tentative="1">
      <w:start w:val="1"/>
      <w:numFmt w:val="bullet"/>
      <w:lvlText w:val="•"/>
      <w:lvlJc w:val="left"/>
      <w:pPr>
        <w:tabs>
          <w:tab w:val="num" w:pos="5400"/>
        </w:tabs>
        <w:ind w:left="5400" w:hanging="360"/>
      </w:pPr>
      <w:rPr>
        <w:rFonts w:ascii="Arial" w:hAnsi="Arial" w:hint="default"/>
      </w:rPr>
    </w:lvl>
    <w:lvl w:ilvl="8" w:tplc="7630744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592649B"/>
    <w:multiLevelType w:val="hybridMultilevel"/>
    <w:tmpl w:val="BAFE157E"/>
    <w:lvl w:ilvl="0" w:tplc="FC422D24">
      <w:start w:val="1"/>
      <w:numFmt w:val="bullet"/>
      <w:lvlText w:val="•"/>
      <w:lvlJc w:val="left"/>
      <w:pPr>
        <w:tabs>
          <w:tab w:val="num" w:pos="360"/>
        </w:tabs>
        <w:ind w:left="360" w:hanging="360"/>
      </w:pPr>
      <w:rPr>
        <w:rFonts w:ascii="Arial" w:hAnsi="Arial" w:hint="default"/>
      </w:rPr>
    </w:lvl>
    <w:lvl w:ilvl="1" w:tplc="49B62BEE" w:tentative="1">
      <w:start w:val="1"/>
      <w:numFmt w:val="bullet"/>
      <w:lvlText w:val="•"/>
      <w:lvlJc w:val="left"/>
      <w:pPr>
        <w:tabs>
          <w:tab w:val="num" w:pos="1080"/>
        </w:tabs>
        <w:ind w:left="1080" w:hanging="360"/>
      </w:pPr>
      <w:rPr>
        <w:rFonts w:ascii="Arial" w:hAnsi="Arial" w:hint="default"/>
      </w:rPr>
    </w:lvl>
    <w:lvl w:ilvl="2" w:tplc="A27C134C" w:tentative="1">
      <w:start w:val="1"/>
      <w:numFmt w:val="bullet"/>
      <w:lvlText w:val="•"/>
      <w:lvlJc w:val="left"/>
      <w:pPr>
        <w:tabs>
          <w:tab w:val="num" w:pos="1800"/>
        </w:tabs>
        <w:ind w:left="1800" w:hanging="360"/>
      </w:pPr>
      <w:rPr>
        <w:rFonts w:ascii="Arial" w:hAnsi="Arial" w:hint="default"/>
      </w:rPr>
    </w:lvl>
    <w:lvl w:ilvl="3" w:tplc="B554DA08" w:tentative="1">
      <w:start w:val="1"/>
      <w:numFmt w:val="bullet"/>
      <w:lvlText w:val="•"/>
      <w:lvlJc w:val="left"/>
      <w:pPr>
        <w:tabs>
          <w:tab w:val="num" w:pos="2520"/>
        </w:tabs>
        <w:ind w:left="2520" w:hanging="360"/>
      </w:pPr>
      <w:rPr>
        <w:rFonts w:ascii="Arial" w:hAnsi="Arial" w:hint="default"/>
      </w:rPr>
    </w:lvl>
    <w:lvl w:ilvl="4" w:tplc="2646B2FE" w:tentative="1">
      <w:start w:val="1"/>
      <w:numFmt w:val="bullet"/>
      <w:lvlText w:val="•"/>
      <w:lvlJc w:val="left"/>
      <w:pPr>
        <w:tabs>
          <w:tab w:val="num" w:pos="3240"/>
        </w:tabs>
        <w:ind w:left="3240" w:hanging="360"/>
      </w:pPr>
      <w:rPr>
        <w:rFonts w:ascii="Arial" w:hAnsi="Arial" w:hint="default"/>
      </w:rPr>
    </w:lvl>
    <w:lvl w:ilvl="5" w:tplc="4934D978" w:tentative="1">
      <w:start w:val="1"/>
      <w:numFmt w:val="bullet"/>
      <w:lvlText w:val="•"/>
      <w:lvlJc w:val="left"/>
      <w:pPr>
        <w:tabs>
          <w:tab w:val="num" w:pos="3960"/>
        </w:tabs>
        <w:ind w:left="3960" w:hanging="360"/>
      </w:pPr>
      <w:rPr>
        <w:rFonts w:ascii="Arial" w:hAnsi="Arial" w:hint="default"/>
      </w:rPr>
    </w:lvl>
    <w:lvl w:ilvl="6" w:tplc="7D14F9A2" w:tentative="1">
      <w:start w:val="1"/>
      <w:numFmt w:val="bullet"/>
      <w:lvlText w:val="•"/>
      <w:lvlJc w:val="left"/>
      <w:pPr>
        <w:tabs>
          <w:tab w:val="num" w:pos="4680"/>
        </w:tabs>
        <w:ind w:left="4680" w:hanging="360"/>
      </w:pPr>
      <w:rPr>
        <w:rFonts w:ascii="Arial" w:hAnsi="Arial" w:hint="default"/>
      </w:rPr>
    </w:lvl>
    <w:lvl w:ilvl="7" w:tplc="72B4CA86" w:tentative="1">
      <w:start w:val="1"/>
      <w:numFmt w:val="bullet"/>
      <w:lvlText w:val="•"/>
      <w:lvlJc w:val="left"/>
      <w:pPr>
        <w:tabs>
          <w:tab w:val="num" w:pos="5400"/>
        </w:tabs>
        <w:ind w:left="5400" w:hanging="360"/>
      </w:pPr>
      <w:rPr>
        <w:rFonts w:ascii="Arial" w:hAnsi="Arial" w:hint="default"/>
      </w:rPr>
    </w:lvl>
    <w:lvl w:ilvl="8" w:tplc="31B2EB50" w:tentative="1">
      <w:start w:val="1"/>
      <w:numFmt w:val="bullet"/>
      <w:lvlText w:val="•"/>
      <w:lvlJc w:val="left"/>
      <w:pPr>
        <w:tabs>
          <w:tab w:val="num" w:pos="6120"/>
        </w:tabs>
        <w:ind w:left="6120" w:hanging="360"/>
      </w:pPr>
      <w:rPr>
        <w:rFonts w:ascii="Arial" w:hAnsi="Arial" w:hint="default"/>
      </w:rPr>
    </w:lvl>
  </w:abstractNum>
  <w:num w:numId="1" w16cid:durableId="168301450">
    <w:abstractNumId w:val="2"/>
  </w:num>
  <w:num w:numId="2" w16cid:durableId="1436830074">
    <w:abstractNumId w:val="0"/>
  </w:num>
  <w:num w:numId="3" w16cid:durableId="1764257821">
    <w:abstractNumId w:val="4"/>
  </w:num>
  <w:num w:numId="4" w16cid:durableId="1655645856">
    <w:abstractNumId w:val="6"/>
  </w:num>
  <w:num w:numId="5" w16cid:durableId="605581142">
    <w:abstractNumId w:val="5"/>
  </w:num>
  <w:num w:numId="6" w16cid:durableId="1640921333">
    <w:abstractNumId w:val="3"/>
  </w:num>
  <w:num w:numId="7" w16cid:durableId="791091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62"/>
    <w:rsid w:val="000004E4"/>
    <w:rsid w:val="00000A73"/>
    <w:rsid w:val="00000FFF"/>
    <w:rsid w:val="00006BFA"/>
    <w:rsid w:val="000100D3"/>
    <w:rsid w:val="00012F44"/>
    <w:rsid w:val="000208B2"/>
    <w:rsid w:val="0002095A"/>
    <w:rsid w:val="000238F8"/>
    <w:rsid w:val="00027D2F"/>
    <w:rsid w:val="00030630"/>
    <w:rsid w:val="00034287"/>
    <w:rsid w:val="000413E0"/>
    <w:rsid w:val="00042464"/>
    <w:rsid w:val="00044A61"/>
    <w:rsid w:val="000472D7"/>
    <w:rsid w:val="000477C8"/>
    <w:rsid w:val="00047844"/>
    <w:rsid w:val="00060CD1"/>
    <w:rsid w:val="00061549"/>
    <w:rsid w:val="00062135"/>
    <w:rsid w:val="0006343A"/>
    <w:rsid w:val="0007310D"/>
    <w:rsid w:val="0007364A"/>
    <w:rsid w:val="00075623"/>
    <w:rsid w:val="000811BB"/>
    <w:rsid w:val="00092A3D"/>
    <w:rsid w:val="000933DB"/>
    <w:rsid w:val="000935D1"/>
    <w:rsid w:val="0009757E"/>
    <w:rsid w:val="000A0106"/>
    <w:rsid w:val="000B1135"/>
    <w:rsid w:val="000C2163"/>
    <w:rsid w:val="000C22F8"/>
    <w:rsid w:val="000C2A3C"/>
    <w:rsid w:val="000C3C8A"/>
    <w:rsid w:val="000C498B"/>
    <w:rsid w:val="000C4BAF"/>
    <w:rsid w:val="000D17AA"/>
    <w:rsid w:val="000D2D5E"/>
    <w:rsid w:val="000D4274"/>
    <w:rsid w:val="000D4507"/>
    <w:rsid w:val="000D4FDA"/>
    <w:rsid w:val="000D5405"/>
    <w:rsid w:val="000D58F6"/>
    <w:rsid w:val="000E013D"/>
    <w:rsid w:val="000E2609"/>
    <w:rsid w:val="000E2882"/>
    <w:rsid w:val="000F3695"/>
    <w:rsid w:val="001002C0"/>
    <w:rsid w:val="001072B2"/>
    <w:rsid w:val="00113F99"/>
    <w:rsid w:val="00114155"/>
    <w:rsid w:val="00114FA2"/>
    <w:rsid w:val="001211F1"/>
    <w:rsid w:val="001215C0"/>
    <w:rsid w:val="001226B9"/>
    <w:rsid w:val="0012365D"/>
    <w:rsid w:val="0012436C"/>
    <w:rsid w:val="00127C90"/>
    <w:rsid w:val="00131C2A"/>
    <w:rsid w:val="001324E0"/>
    <w:rsid w:val="00134D7E"/>
    <w:rsid w:val="0013517B"/>
    <w:rsid w:val="001354E8"/>
    <w:rsid w:val="00135ACE"/>
    <w:rsid w:val="0013721B"/>
    <w:rsid w:val="00140A7B"/>
    <w:rsid w:val="0014327E"/>
    <w:rsid w:val="00144D14"/>
    <w:rsid w:val="00144D3F"/>
    <w:rsid w:val="0014525A"/>
    <w:rsid w:val="00146E39"/>
    <w:rsid w:val="0016096B"/>
    <w:rsid w:val="0016539B"/>
    <w:rsid w:val="0016569E"/>
    <w:rsid w:val="00165CD2"/>
    <w:rsid w:val="00167FE2"/>
    <w:rsid w:val="00173182"/>
    <w:rsid w:val="00183A22"/>
    <w:rsid w:val="00187AF4"/>
    <w:rsid w:val="0019144B"/>
    <w:rsid w:val="00194691"/>
    <w:rsid w:val="00195703"/>
    <w:rsid w:val="001A0C6F"/>
    <w:rsid w:val="001A2F13"/>
    <w:rsid w:val="001A41FF"/>
    <w:rsid w:val="001A6D9C"/>
    <w:rsid w:val="001B1A70"/>
    <w:rsid w:val="001B3A70"/>
    <w:rsid w:val="001B7B7A"/>
    <w:rsid w:val="001B7B96"/>
    <w:rsid w:val="001B7F0D"/>
    <w:rsid w:val="001C0297"/>
    <w:rsid w:val="001C2C57"/>
    <w:rsid w:val="001C2D5F"/>
    <w:rsid w:val="001D0ADF"/>
    <w:rsid w:val="001D2648"/>
    <w:rsid w:val="001D2ADB"/>
    <w:rsid w:val="001E2D41"/>
    <w:rsid w:val="001E35B8"/>
    <w:rsid w:val="001E5987"/>
    <w:rsid w:val="001F1AD5"/>
    <w:rsid w:val="001F4DF8"/>
    <w:rsid w:val="00201451"/>
    <w:rsid w:val="0021079B"/>
    <w:rsid w:val="00212024"/>
    <w:rsid w:val="00212FEE"/>
    <w:rsid w:val="00213BB5"/>
    <w:rsid w:val="0022291E"/>
    <w:rsid w:val="002250B9"/>
    <w:rsid w:val="002266DF"/>
    <w:rsid w:val="00227290"/>
    <w:rsid w:val="002328A8"/>
    <w:rsid w:val="00234B37"/>
    <w:rsid w:val="00245556"/>
    <w:rsid w:val="00250B55"/>
    <w:rsid w:val="00251DDC"/>
    <w:rsid w:val="00252A4D"/>
    <w:rsid w:val="002551B6"/>
    <w:rsid w:val="00256180"/>
    <w:rsid w:val="0026573F"/>
    <w:rsid w:val="00272326"/>
    <w:rsid w:val="0027293C"/>
    <w:rsid w:val="00282913"/>
    <w:rsid w:val="002831E8"/>
    <w:rsid w:val="002859D1"/>
    <w:rsid w:val="00285AB5"/>
    <w:rsid w:val="00285CA2"/>
    <w:rsid w:val="00291A1C"/>
    <w:rsid w:val="002936B2"/>
    <w:rsid w:val="00295B72"/>
    <w:rsid w:val="002A493D"/>
    <w:rsid w:val="002A4FEE"/>
    <w:rsid w:val="002A773C"/>
    <w:rsid w:val="002A7C12"/>
    <w:rsid w:val="002B0A69"/>
    <w:rsid w:val="002B0BE9"/>
    <w:rsid w:val="002B1380"/>
    <w:rsid w:val="002B400E"/>
    <w:rsid w:val="002B4F1F"/>
    <w:rsid w:val="002B60CC"/>
    <w:rsid w:val="002C1A73"/>
    <w:rsid w:val="002C1F7E"/>
    <w:rsid w:val="002C44B7"/>
    <w:rsid w:val="002D09A9"/>
    <w:rsid w:val="002D174B"/>
    <w:rsid w:val="002E08BB"/>
    <w:rsid w:val="002E2E34"/>
    <w:rsid w:val="002E3E69"/>
    <w:rsid w:val="002F2281"/>
    <w:rsid w:val="00303A7C"/>
    <w:rsid w:val="00304672"/>
    <w:rsid w:val="00304A6B"/>
    <w:rsid w:val="00304CCA"/>
    <w:rsid w:val="00305A37"/>
    <w:rsid w:val="0030665C"/>
    <w:rsid w:val="00307BA6"/>
    <w:rsid w:val="003156D1"/>
    <w:rsid w:val="0031619A"/>
    <w:rsid w:val="00331543"/>
    <w:rsid w:val="00333C26"/>
    <w:rsid w:val="00334A33"/>
    <w:rsid w:val="00335033"/>
    <w:rsid w:val="00335A9C"/>
    <w:rsid w:val="00337522"/>
    <w:rsid w:val="00340B1D"/>
    <w:rsid w:val="0034289D"/>
    <w:rsid w:val="00342E74"/>
    <w:rsid w:val="00344065"/>
    <w:rsid w:val="00344B7E"/>
    <w:rsid w:val="00345FF5"/>
    <w:rsid w:val="00346083"/>
    <w:rsid w:val="00352463"/>
    <w:rsid w:val="00355E10"/>
    <w:rsid w:val="00356A91"/>
    <w:rsid w:val="00356EE7"/>
    <w:rsid w:val="00356FAC"/>
    <w:rsid w:val="00356FFF"/>
    <w:rsid w:val="003726B2"/>
    <w:rsid w:val="00372FBD"/>
    <w:rsid w:val="003735B8"/>
    <w:rsid w:val="00375B2B"/>
    <w:rsid w:val="00375C35"/>
    <w:rsid w:val="003833BD"/>
    <w:rsid w:val="003869C3"/>
    <w:rsid w:val="00391B83"/>
    <w:rsid w:val="00394FA1"/>
    <w:rsid w:val="003A008E"/>
    <w:rsid w:val="003A07F1"/>
    <w:rsid w:val="003A0A04"/>
    <w:rsid w:val="003A4062"/>
    <w:rsid w:val="003A58EC"/>
    <w:rsid w:val="003A792F"/>
    <w:rsid w:val="003B16BD"/>
    <w:rsid w:val="003C4FF3"/>
    <w:rsid w:val="003C5191"/>
    <w:rsid w:val="003C6353"/>
    <w:rsid w:val="003C70D0"/>
    <w:rsid w:val="003D216E"/>
    <w:rsid w:val="003D3366"/>
    <w:rsid w:val="003E06B7"/>
    <w:rsid w:val="003E0C75"/>
    <w:rsid w:val="003E2086"/>
    <w:rsid w:val="003E4FFF"/>
    <w:rsid w:val="003E7303"/>
    <w:rsid w:val="00404C60"/>
    <w:rsid w:val="00407FB9"/>
    <w:rsid w:val="00410202"/>
    <w:rsid w:val="00414039"/>
    <w:rsid w:val="00414F3C"/>
    <w:rsid w:val="00427234"/>
    <w:rsid w:val="00432D06"/>
    <w:rsid w:val="00434D91"/>
    <w:rsid w:val="00443190"/>
    <w:rsid w:val="004444B3"/>
    <w:rsid w:val="004453A4"/>
    <w:rsid w:val="004456DA"/>
    <w:rsid w:val="00445D8E"/>
    <w:rsid w:val="004562BA"/>
    <w:rsid w:val="0045758D"/>
    <w:rsid w:val="004579C3"/>
    <w:rsid w:val="00460049"/>
    <w:rsid w:val="004601C8"/>
    <w:rsid w:val="0046555F"/>
    <w:rsid w:val="00470B6C"/>
    <w:rsid w:val="004714A9"/>
    <w:rsid w:val="00472139"/>
    <w:rsid w:val="0047288A"/>
    <w:rsid w:val="00474DCD"/>
    <w:rsid w:val="00475278"/>
    <w:rsid w:val="00480B6D"/>
    <w:rsid w:val="00481395"/>
    <w:rsid w:val="004A416C"/>
    <w:rsid w:val="004A4699"/>
    <w:rsid w:val="004A4F0D"/>
    <w:rsid w:val="004A7E1E"/>
    <w:rsid w:val="004B7525"/>
    <w:rsid w:val="004B7580"/>
    <w:rsid w:val="004C159C"/>
    <w:rsid w:val="004C427E"/>
    <w:rsid w:val="004C65DB"/>
    <w:rsid w:val="004D16AF"/>
    <w:rsid w:val="004D6297"/>
    <w:rsid w:val="004D734D"/>
    <w:rsid w:val="004D7A2F"/>
    <w:rsid w:val="004D7A78"/>
    <w:rsid w:val="004E21F6"/>
    <w:rsid w:val="004E71AE"/>
    <w:rsid w:val="004F3865"/>
    <w:rsid w:val="004F6837"/>
    <w:rsid w:val="00501C00"/>
    <w:rsid w:val="00502B19"/>
    <w:rsid w:val="00504A11"/>
    <w:rsid w:val="00510F08"/>
    <w:rsid w:val="00513305"/>
    <w:rsid w:val="00515F70"/>
    <w:rsid w:val="00524C0F"/>
    <w:rsid w:val="00526398"/>
    <w:rsid w:val="00527B9E"/>
    <w:rsid w:val="00530511"/>
    <w:rsid w:val="00541C04"/>
    <w:rsid w:val="005431AC"/>
    <w:rsid w:val="0054484C"/>
    <w:rsid w:val="00546A24"/>
    <w:rsid w:val="00547C2D"/>
    <w:rsid w:val="00551BC8"/>
    <w:rsid w:val="00553282"/>
    <w:rsid w:val="00555C5B"/>
    <w:rsid w:val="00557D64"/>
    <w:rsid w:val="005615D0"/>
    <w:rsid w:val="00562872"/>
    <w:rsid w:val="00562E32"/>
    <w:rsid w:val="00564B3C"/>
    <w:rsid w:val="00565513"/>
    <w:rsid w:val="00570701"/>
    <w:rsid w:val="0057078A"/>
    <w:rsid w:val="00573669"/>
    <w:rsid w:val="00573848"/>
    <w:rsid w:val="00576661"/>
    <w:rsid w:val="005825E6"/>
    <w:rsid w:val="00583682"/>
    <w:rsid w:val="0058380B"/>
    <w:rsid w:val="00585416"/>
    <w:rsid w:val="0059208F"/>
    <w:rsid w:val="005937DA"/>
    <w:rsid w:val="005939C0"/>
    <w:rsid w:val="005958E8"/>
    <w:rsid w:val="005B40A9"/>
    <w:rsid w:val="005C1164"/>
    <w:rsid w:val="005C11F8"/>
    <w:rsid w:val="005C15E0"/>
    <w:rsid w:val="005C1B72"/>
    <w:rsid w:val="005C37C9"/>
    <w:rsid w:val="005C413D"/>
    <w:rsid w:val="005C50CE"/>
    <w:rsid w:val="005C5797"/>
    <w:rsid w:val="005C5EA0"/>
    <w:rsid w:val="005D21F2"/>
    <w:rsid w:val="005D53FB"/>
    <w:rsid w:val="005E12C0"/>
    <w:rsid w:val="005E1B7E"/>
    <w:rsid w:val="005E3B79"/>
    <w:rsid w:val="005E4863"/>
    <w:rsid w:val="005E64F9"/>
    <w:rsid w:val="005E6BEA"/>
    <w:rsid w:val="005E75B2"/>
    <w:rsid w:val="005F1B6B"/>
    <w:rsid w:val="005F1E1D"/>
    <w:rsid w:val="005F2EB3"/>
    <w:rsid w:val="005F69B3"/>
    <w:rsid w:val="005F7C63"/>
    <w:rsid w:val="00600B8D"/>
    <w:rsid w:val="00602064"/>
    <w:rsid w:val="00602638"/>
    <w:rsid w:val="00603A5B"/>
    <w:rsid w:val="006074AB"/>
    <w:rsid w:val="00607C47"/>
    <w:rsid w:val="0062058E"/>
    <w:rsid w:val="006207C3"/>
    <w:rsid w:val="00623F7D"/>
    <w:rsid w:val="006241E6"/>
    <w:rsid w:val="006249EB"/>
    <w:rsid w:val="006256AE"/>
    <w:rsid w:val="0063068D"/>
    <w:rsid w:val="00631B62"/>
    <w:rsid w:val="00632F04"/>
    <w:rsid w:val="0063360B"/>
    <w:rsid w:val="00634483"/>
    <w:rsid w:val="006348AD"/>
    <w:rsid w:val="00636B17"/>
    <w:rsid w:val="0064025E"/>
    <w:rsid w:val="00641407"/>
    <w:rsid w:val="00641E7D"/>
    <w:rsid w:val="00643B94"/>
    <w:rsid w:val="006459B7"/>
    <w:rsid w:val="006479D3"/>
    <w:rsid w:val="00654126"/>
    <w:rsid w:val="0065590A"/>
    <w:rsid w:val="00655EFB"/>
    <w:rsid w:val="0065640A"/>
    <w:rsid w:val="00660814"/>
    <w:rsid w:val="0066535B"/>
    <w:rsid w:val="00665839"/>
    <w:rsid w:val="00670C56"/>
    <w:rsid w:val="0067140A"/>
    <w:rsid w:val="00682004"/>
    <w:rsid w:val="00683396"/>
    <w:rsid w:val="00686DDD"/>
    <w:rsid w:val="00690572"/>
    <w:rsid w:val="00691A0C"/>
    <w:rsid w:val="006929EE"/>
    <w:rsid w:val="006959B5"/>
    <w:rsid w:val="006967B5"/>
    <w:rsid w:val="006A1B89"/>
    <w:rsid w:val="006A4739"/>
    <w:rsid w:val="006A4E84"/>
    <w:rsid w:val="006A6C95"/>
    <w:rsid w:val="006B037C"/>
    <w:rsid w:val="006B0B51"/>
    <w:rsid w:val="006B1796"/>
    <w:rsid w:val="006B5D2C"/>
    <w:rsid w:val="006B7897"/>
    <w:rsid w:val="006C3B1B"/>
    <w:rsid w:val="006D101F"/>
    <w:rsid w:val="006D14AD"/>
    <w:rsid w:val="006D59CC"/>
    <w:rsid w:val="006D619E"/>
    <w:rsid w:val="006D6688"/>
    <w:rsid w:val="006E4675"/>
    <w:rsid w:val="006E6DC6"/>
    <w:rsid w:val="006E7757"/>
    <w:rsid w:val="006E7E1D"/>
    <w:rsid w:val="006F1B65"/>
    <w:rsid w:val="006F3ABE"/>
    <w:rsid w:val="00701762"/>
    <w:rsid w:val="00703A7F"/>
    <w:rsid w:val="0070611D"/>
    <w:rsid w:val="007068D0"/>
    <w:rsid w:val="007120E8"/>
    <w:rsid w:val="0071557E"/>
    <w:rsid w:val="007206DD"/>
    <w:rsid w:val="007225FB"/>
    <w:rsid w:val="00723F75"/>
    <w:rsid w:val="00724E6D"/>
    <w:rsid w:val="007442B8"/>
    <w:rsid w:val="00744E5C"/>
    <w:rsid w:val="007454EA"/>
    <w:rsid w:val="007464A1"/>
    <w:rsid w:val="00754D75"/>
    <w:rsid w:val="00755A0C"/>
    <w:rsid w:val="00760E69"/>
    <w:rsid w:val="00761E21"/>
    <w:rsid w:val="007635DB"/>
    <w:rsid w:val="007737E4"/>
    <w:rsid w:val="007755BD"/>
    <w:rsid w:val="007760E3"/>
    <w:rsid w:val="007800AC"/>
    <w:rsid w:val="00783924"/>
    <w:rsid w:val="00787BE4"/>
    <w:rsid w:val="00790035"/>
    <w:rsid w:val="007932B1"/>
    <w:rsid w:val="0079343F"/>
    <w:rsid w:val="00795607"/>
    <w:rsid w:val="00797D47"/>
    <w:rsid w:val="007A1DA9"/>
    <w:rsid w:val="007A4793"/>
    <w:rsid w:val="007A5861"/>
    <w:rsid w:val="007B1E0F"/>
    <w:rsid w:val="007B38B9"/>
    <w:rsid w:val="007B3A26"/>
    <w:rsid w:val="007B48C9"/>
    <w:rsid w:val="007C2D28"/>
    <w:rsid w:val="007C5A45"/>
    <w:rsid w:val="007C6D14"/>
    <w:rsid w:val="007D028C"/>
    <w:rsid w:val="007D0DE3"/>
    <w:rsid w:val="007D21B4"/>
    <w:rsid w:val="007D493D"/>
    <w:rsid w:val="007E0DC9"/>
    <w:rsid w:val="007E2909"/>
    <w:rsid w:val="007E4821"/>
    <w:rsid w:val="007F1525"/>
    <w:rsid w:val="007F182A"/>
    <w:rsid w:val="007F273D"/>
    <w:rsid w:val="007F4987"/>
    <w:rsid w:val="007F5423"/>
    <w:rsid w:val="007F6EE2"/>
    <w:rsid w:val="007F6F6F"/>
    <w:rsid w:val="00802BA1"/>
    <w:rsid w:val="00803BF2"/>
    <w:rsid w:val="00806ED0"/>
    <w:rsid w:val="008074A7"/>
    <w:rsid w:val="008119AA"/>
    <w:rsid w:val="0082079A"/>
    <w:rsid w:val="00832F25"/>
    <w:rsid w:val="0083389A"/>
    <w:rsid w:val="00834CC4"/>
    <w:rsid w:val="00845D4B"/>
    <w:rsid w:val="008466EB"/>
    <w:rsid w:val="00856E9C"/>
    <w:rsid w:val="00862879"/>
    <w:rsid w:val="00863A99"/>
    <w:rsid w:val="00872B22"/>
    <w:rsid w:val="00873534"/>
    <w:rsid w:val="00874BBC"/>
    <w:rsid w:val="00875237"/>
    <w:rsid w:val="00882BF5"/>
    <w:rsid w:val="00893749"/>
    <w:rsid w:val="008972C8"/>
    <w:rsid w:val="0089771A"/>
    <w:rsid w:val="00897909"/>
    <w:rsid w:val="008A3B0E"/>
    <w:rsid w:val="008A53BE"/>
    <w:rsid w:val="008A6124"/>
    <w:rsid w:val="008A62E8"/>
    <w:rsid w:val="008B0066"/>
    <w:rsid w:val="008B3DA7"/>
    <w:rsid w:val="008C2A9F"/>
    <w:rsid w:val="008C56AB"/>
    <w:rsid w:val="008C6C7A"/>
    <w:rsid w:val="008D159F"/>
    <w:rsid w:val="008D54A2"/>
    <w:rsid w:val="008E4A03"/>
    <w:rsid w:val="008E72EE"/>
    <w:rsid w:val="008E7561"/>
    <w:rsid w:val="008E77CA"/>
    <w:rsid w:val="008F21D4"/>
    <w:rsid w:val="008F735C"/>
    <w:rsid w:val="008F7FE9"/>
    <w:rsid w:val="00904778"/>
    <w:rsid w:val="00905166"/>
    <w:rsid w:val="009053C8"/>
    <w:rsid w:val="00905BE5"/>
    <w:rsid w:val="00906196"/>
    <w:rsid w:val="009148BB"/>
    <w:rsid w:val="009234F8"/>
    <w:rsid w:val="00923B3A"/>
    <w:rsid w:val="009264A0"/>
    <w:rsid w:val="0092785D"/>
    <w:rsid w:val="00927D3D"/>
    <w:rsid w:val="009326D1"/>
    <w:rsid w:val="0093788F"/>
    <w:rsid w:val="00940F52"/>
    <w:rsid w:val="0094294A"/>
    <w:rsid w:val="00943F2A"/>
    <w:rsid w:val="00945B70"/>
    <w:rsid w:val="00950C2C"/>
    <w:rsid w:val="00956E91"/>
    <w:rsid w:val="009711E3"/>
    <w:rsid w:val="00971F41"/>
    <w:rsid w:val="0097238C"/>
    <w:rsid w:val="0097419D"/>
    <w:rsid w:val="009745CC"/>
    <w:rsid w:val="00974ED7"/>
    <w:rsid w:val="0097563C"/>
    <w:rsid w:val="0097600A"/>
    <w:rsid w:val="00980BC2"/>
    <w:rsid w:val="009814E6"/>
    <w:rsid w:val="00990B8A"/>
    <w:rsid w:val="00992136"/>
    <w:rsid w:val="009961A6"/>
    <w:rsid w:val="00996367"/>
    <w:rsid w:val="00997225"/>
    <w:rsid w:val="00997506"/>
    <w:rsid w:val="009A0BD4"/>
    <w:rsid w:val="009A13E7"/>
    <w:rsid w:val="009B24EC"/>
    <w:rsid w:val="009C00B8"/>
    <w:rsid w:val="009C06B2"/>
    <w:rsid w:val="009C0A74"/>
    <w:rsid w:val="009C0E73"/>
    <w:rsid w:val="009C125B"/>
    <w:rsid w:val="009C13D3"/>
    <w:rsid w:val="009C3E1A"/>
    <w:rsid w:val="009C431C"/>
    <w:rsid w:val="009C6530"/>
    <w:rsid w:val="009C7FC3"/>
    <w:rsid w:val="009D065C"/>
    <w:rsid w:val="009D1EC6"/>
    <w:rsid w:val="009D23D2"/>
    <w:rsid w:val="009D3ED4"/>
    <w:rsid w:val="009D4477"/>
    <w:rsid w:val="009D511C"/>
    <w:rsid w:val="009D5A42"/>
    <w:rsid w:val="009D61F2"/>
    <w:rsid w:val="009E229B"/>
    <w:rsid w:val="009E6563"/>
    <w:rsid w:val="009F39A7"/>
    <w:rsid w:val="009F50CA"/>
    <w:rsid w:val="00A0382C"/>
    <w:rsid w:val="00A057FA"/>
    <w:rsid w:val="00A05EE6"/>
    <w:rsid w:val="00A06523"/>
    <w:rsid w:val="00A06666"/>
    <w:rsid w:val="00A11E10"/>
    <w:rsid w:val="00A12F45"/>
    <w:rsid w:val="00A231FB"/>
    <w:rsid w:val="00A24366"/>
    <w:rsid w:val="00A258C2"/>
    <w:rsid w:val="00A26D35"/>
    <w:rsid w:val="00A26F07"/>
    <w:rsid w:val="00A31EF3"/>
    <w:rsid w:val="00A32A3E"/>
    <w:rsid w:val="00A34041"/>
    <w:rsid w:val="00A34077"/>
    <w:rsid w:val="00A3762F"/>
    <w:rsid w:val="00A5156A"/>
    <w:rsid w:val="00A518E7"/>
    <w:rsid w:val="00A52F57"/>
    <w:rsid w:val="00A542B1"/>
    <w:rsid w:val="00A56217"/>
    <w:rsid w:val="00A5659E"/>
    <w:rsid w:val="00A568BC"/>
    <w:rsid w:val="00A66C3D"/>
    <w:rsid w:val="00A7375B"/>
    <w:rsid w:val="00A740B5"/>
    <w:rsid w:val="00A7590E"/>
    <w:rsid w:val="00A90BAF"/>
    <w:rsid w:val="00A9166A"/>
    <w:rsid w:val="00A93150"/>
    <w:rsid w:val="00A96E77"/>
    <w:rsid w:val="00A96E93"/>
    <w:rsid w:val="00AA0CF9"/>
    <w:rsid w:val="00AA5B1B"/>
    <w:rsid w:val="00AA717C"/>
    <w:rsid w:val="00AB0E00"/>
    <w:rsid w:val="00AB5BBD"/>
    <w:rsid w:val="00AC06D0"/>
    <w:rsid w:val="00AC1362"/>
    <w:rsid w:val="00AC3121"/>
    <w:rsid w:val="00AC4CFA"/>
    <w:rsid w:val="00AC596C"/>
    <w:rsid w:val="00AC6F31"/>
    <w:rsid w:val="00AD16CD"/>
    <w:rsid w:val="00AD34B3"/>
    <w:rsid w:val="00AE1C75"/>
    <w:rsid w:val="00AE1D9D"/>
    <w:rsid w:val="00AE33E6"/>
    <w:rsid w:val="00AE34E5"/>
    <w:rsid w:val="00AE5301"/>
    <w:rsid w:val="00AF5F16"/>
    <w:rsid w:val="00AF7C70"/>
    <w:rsid w:val="00B03013"/>
    <w:rsid w:val="00B11E23"/>
    <w:rsid w:val="00B125F1"/>
    <w:rsid w:val="00B126FD"/>
    <w:rsid w:val="00B17603"/>
    <w:rsid w:val="00B204DA"/>
    <w:rsid w:val="00B214BE"/>
    <w:rsid w:val="00B24BEA"/>
    <w:rsid w:val="00B254C9"/>
    <w:rsid w:val="00B26B82"/>
    <w:rsid w:val="00B3069D"/>
    <w:rsid w:val="00B3354E"/>
    <w:rsid w:val="00B33D7F"/>
    <w:rsid w:val="00B36D21"/>
    <w:rsid w:val="00B36DDE"/>
    <w:rsid w:val="00B405DA"/>
    <w:rsid w:val="00B40840"/>
    <w:rsid w:val="00B507DB"/>
    <w:rsid w:val="00B533CE"/>
    <w:rsid w:val="00B5345D"/>
    <w:rsid w:val="00B548E1"/>
    <w:rsid w:val="00B65C92"/>
    <w:rsid w:val="00B7716F"/>
    <w:rsid w:val="00B8193C"/>
    <w:rsid w:val="00B852FD"/>
    <w:rsid w:val="00B8543D"/>
    <w:rsid w:val="00B868FB"/>
    <w:rsid w:val="00B87A5A"/>
    <w:rsid w:val="00B944B7"/>
    <w:rsid w:val="00B9692D"/>
    <w:rsid w:val="00B97A6C"/>
    <w:rsid w:val="00BA6766"/>
    <w:rsid w:val="00BA72F9"/>
    <w:rsid w:val="00BB0A56"/>
    <w:rsid w:val="00BB1C53"/>
    <w:rsid w:val="00BB25A0"/>
    <w:rsid w:val="00BB277C"/>
    <w:rsid w:val="00BB643A"/>
    <w:rsid w:val="00BB6E82"/>
    <w:rsid w:val="00BC0140"/>
    <w:rsid w:val="00BC230C"/>
    <w:rsid w:val="00BC2476"/>
    <w:rsid w:val="00BC4319"/>
    <w:rsid w:val="00BC74D5"/>
    <w:rsid w:val="00BD1F50"/>
    <w:rsid w:val="00BD22CA"/>
    <w:rsid w:val="00BD45E2"/>
    <w:rsid w:val="00BE4BE6"/>
    <w:rsid w:val="00BE4DD6"/>
    <w:rsid w:val="00BF20B6"/>
    <w:rsid w:val="00BF5A94"/>
    <w:rsid w:val="00BF7200"/>
    <w:rsid w:val="00C026D7"/>
    <w:rsid w:val="00C07165"/>
    <w:rsid w:val="00C073C8"/>
    <w:rsid w:val="00C0795F"/>
    <w:rsid w:val="00C10E47"/>
    <w:rsid w:val="00C13B5C"/>
    <w:rsid w:val="00C1664F"/>
    <w:rsid w:val="00C17471"/>
    <w:rsid w:val="00C2043B"/>
    <w:rsid w:val="00C22CD7"/>
    <w:rsid w:val="00C23267"/>
    <w:rsid w:val="00C237B7"/>
    <w:rsid w:val="00C2671A"/>
    <w:rsid w:val="00C2798A"/>
    <w:rsid w:val="00C3642F"/>
    <w:rsid w:val="00C36846"/>
    <w:rsid w:val="00C36F51"/>
    <w:rsid w:val="00C41BCC"/>
    <w:rsid w:val="00C420A2"/>
    <w:rsid w:val="00C4417C"/>
    <w:rsid w:val="00C47E89"/>
    <w:rsid w:val="00C61404"/>
    <w:rsid w:val="00C63134"/>
    <w:rsid w:val="00C63762"/>
    <w:rsid w:val="00C639F5"/>
    <w:rsid w:val="00C679C9"/>
    <w:rsid w:val="00C67D52"/>
    <w:rsid w:val="00C747E6"/>
    <w:rsid w:val="00C74A1F"/>
    <w:rsid w:val="00C75AC5"/>
    <w:rsid w:val="00C76087"/>
    <w:rsid w:val="00C76136"/>
    <w:rsid w:val="00C776D5"/>
    <w:rsid w:val="00C81D22"/>
    <w:rsid w:val="00C859ED"/>
    <w:rsid w:val="00C923A4"/>
    <w:rsid w:val="00C96180"/>
    <w:rsid w:val="00CA1559"/>
    <w:rsid w:val="00CA45BB"/>
    <w:rsid w:val="00CA55A2"/>
    <w:rsid w:val="00CA5EC8"/>
    <w:rsid w:val="00CA632E"/>
    <w:rsid w:val="00CB0944"/>
    <w:rsid w:val="00CB112C"/>
    <w:rsid w:val="00CB2D26"/>
    <w:rsid w:val="00CB4305"/>
    <w:rsid w:val="00CC0BEC"/>
    <w:rsid w:val="00CC0CF8"/>
    <w:rsid w:val="00CC5A11"/>
    <w:rsid w:val="00CC6A1A"/>
    <w:rsid w:val="00CC719D"/>
    <w:rsid w:val="00CC76A1"/>
    <w:rsid w:val="00CD166B"/>
    <w:rsid w:val="00CD3861"/>
    <w:rsid w:val="00CD7507"/>
    <w:rsid w:val="00CD7EC7"/>
    <w:rsid w:val="00CE11B4"/>
    <w:rsid w:val="00CE1439"/>
    <w:rsid w:val="00CE44B1"/>
    <w:rsid w:val="00CE4BDE"/>
    <w:rsid w:val="00CF7DFB"/>
    <w:rsid w:val="00D019C6"/>
    <w:rsid w:val="00D02D6E"/>
    <w:rsid w:val="00D05A3D"/>
    <w:rsid w:val="00D0611C"/>
    <w:rsid w:val="00D06FC9"/>
    <w:rsid w:val="00D07EDA"/>
    <w:rsid w:val="00D101C9"/>
    <w:rsid w:val="00D22C7F"/>
    <w:rsid w:val="00D23100"/>
    <w:rsid w:val="00D24197"/>
    <w:rsid w:val="00D26A41"/>
    <w:rsid w:val="00D33659"/>
    <w:rsid w:val="00D34154"/>
    <w:rsid w:val="00D36E84"/>
    <w:rsid w:val="00D37CEC"/>
    <w:rsid w:val="00D40AFF"/>
    <w:rsid w:val="00D41CE8"/>
    <w:rsid w:val="00D55B96"/>
    <w:rsid w:val="00D565A0"/>
    <w:rsid w:val="00D56E5F"/>
    <w:rsid w:val="00D574C3"/>
    <w:rsid w:val="00D60B76"/>
    <w:rsid w:val="00D64072"/>
    <w:rsid w:val="00D64DC7"/>
    <w:rsid w:val="00D650ED"/>
    <w:rsid w:val="00D71275"/>
    <w:rsid w:val="00D74FCC"/>
    <w:rsid w:val="00D75DD1"/>
    <w:rsid w:val="00D82774"/>
    <w:rsid w:val="00D85D9C"/>
    <w:rsid w:val="00D9095D"/>
    <w:rsid w:val="00D94C68"/>
    <w:rsid w:val="00DA2F07"/>
    <w:rsid w:val="00DA58A4"/>
    <w:rsid w:val="00DA6BE5"/>
    <w:rsid w:val="00DB04F7"/>
    <w:rsid w:val="00DB1F16"/>
    <w:rsid w:val="00DB25CB"/>
    <w:rsid w:val="00DB520C"/>
    <w:rsid w:val="00DB6865"/>
    <w:rsid w:val="00DC169F"/>
    <w:rsid w:val="00DC391E"/>
    <w:rsid w:val="00DC3C11"/>
    <w:rsid w:val="00DC4C24"/>
    <w:rsid w:val="00DC61B9"/>
    <w:rsid w:val="00DD0805"/>
    <w:rsid w:val="00DD11BF"/>
    <w:rsid w:val="00DD5A2F"/>
    <w:rsid w:val="00DD5EB6"/>
    <w:rsid w:val="00DD72A1"/>
    <w:rsid w:val="00DE1792"/>
    <w:rsid w:val="00DE5791"/>
    <w:rsid w:val="00DE5B0B"/>
    <w:rsid w:val="00DF2B3D"/>
    <w:rsid w:val="00DF43B3"/>
    <w:rsid w:val="00DF60EB"/>
    <w:rsid w:val="00DF6665"/>
    <w:rsid w:val="00E00233"/>
    <w:rsid w:val="00E063FC"/>
    <w:rsid w:val="00E12932"/>
    <w:rsid w:val="00E12A81"/>
    <w:rsid w:val="00E1648A"/>
    <w:rsid w:val="00E21E60"/>
    <w:rsid w:val="00E24410"/>
    <w:rsid w:val="00E25E0F"/>
    <w:rsid w:val="00E27F5C"/>
    <w:rsid w:val="00E31BB3"/>
    <w:rsid w:val="00E344F2"/>
    <w:rsid w:val="00E35464"/>
    <w:rsid w:val="00E36297"/>
    <w:rsid w:val="00E37724"/>
    <w:rsid w:val="00E4272A"/>
    <w:rsid w:val="00E441DA"/>
    <w:rsid w:val="00E449EC"/>
    <w:rsid w:val="00E45A26"/>
    <w:rsid w:val="00E46660"/>
    <w:rsid w:val="00E47C16"/>
    <w:rsid w:val="00E53195"/>
    <w:rsid w:val="00E55D20"/>
    <w:rsid w:val="00E61197"/>
    <w:rsid w:val="00E716FC"/>
    <w:rsid w:val="00E72280"/>
    <w:rsid w:val="00E74811"/>
    <w:rsid w:val="00E75BEE"/>
    <w:rsid w:val="00E823BD"/>
    <w:rsid w:val="00E84060"/>
    <w:rsid w:val="00E91701"/>
    <w:rsid w:val="00E94AE6"/>
    <w:rsid w:val="00E96945"/>
    <w:rsid w:val="00EA0623"/>
    <w:rsid w:val="00EA2CA7"/>
    <w:rsid w:val="00EA41DB"/>
    <w:rsid w:val="00EA5E16"/>
    <w:rsid w:val="00EA7428"/>
    <w:rsid w:val="00EB0266"/>
    <w:rsid w:val="00EB0C1E"/>
    <w:rsid w:val="00EB7D77"/>
    <w:rsid w:val="00EC1CC4"/>
    <w:rsid w:val="00EC3A72"/>
    <w:rsid w:val="00EC4B09"/>
    <w:rsid w:val="00EC6321"/>
    <w:rsid w:val="00EC66F3"/>
    <w:rsid w:val="00EC6AB4"/>
    <w:rsid w:val="00ED2442"/>
    <w:rsid w:val="00ED41FB"/>
    <w:rsid w:val="00ED6B23"/>
    <w:rsid w:val="00EE5F77"/>
    <w:rsid w:val="00EE764D"/>
    <w:rsid w:val="00EF0772"/>
    <w:rsid w:val="00EF71E6"/>
    <w:rsid w:val="00EF7736"/>
    <w:rsid w:val="00F000C8"/>
    <w:rsid w:val="00F0157D"/>
    <w:rsid w:val="00F03B0D"/>
    <w:rsid w:val="00F100D5"/>
    <w:rsid w:val="00F13543"/>
    <w:rsid w:val="00F13E1F"/>
    <w:rsid w:val="00F17098"/>
    <w:rsid w:val="00F17C83"/>
    <w:rsid w:val="00F2226E"/>
    <w:rsid w:val="00F24EE8"/>
    <w:rsid w:val="00F26416"/>
    <w:rsid w:val="00F31147"/>
    <w:rsid w:val="00F31B6E"/>
    <w:rsid w:val="00F33066"/>
    <w:rsid w:val="00F357D3"/>
    <w:rsid w:val="00F3746A"/>
    <w:rsid w:val="00F41158"/>
    <w:rsid w:val="00F4201D"/>
    <w:rsid w:val="00F44076"/>
    <w:rsid w:val="00F479B0"/>
    <w:rsid w:val="00F47D5D"/>
    <w:rsid w:val="00F547FA"/>
    <w:rsid w:val="00F57507"/>
    <w:rsid w:val="00F57756"/>
    <w:rsid w:val="00F6039B"/>
    <w:rsid w:val="00F643B1"/>
    <w:rsid w:val="00F65CCB"/>
    <w:rsid w:val="00F675E1"/>
    <w:rsid w:val="00F72CC7"/>
    <w:rsid w:val="00F75072"/>
    <w:rsid w:val="00F76FEE"/>
    <w:rsid w:val="00F800FE"/>
    <w:rsid w:val="00F8126E"/>
    <w:rsid w:val="00F8249B"/>
    <w:rsid w:val="00F8338B"/>
    <w:rsid w:val="00F83F8F"/>
    <w:rsid w:val="00F87D92"/>
    <w:rsid w:val="00F96D45"/>
    <w:rsid w:val="00F97115"/>
    <w:rsid w:val="00FA2A0B"/>
    <w:rsid w:val="00FA342B"/>
    <w:rsid w:val="00FB014F"/>
    <w:rsid w:val="00FB18E9"/>
    <w:rsid w:val="00FB3725"/>
    <w:rsid w:val="00FB43FF"/>
    <w:rsid w:val="00FC1897"/>
    <w:rsid w:val="00FC2C98"/>
    <w:rsid w:val="00FC35AC"/>
    <w:rsid w:val="00FC602F"/>
    <w:rsid w:val="00FC60C6"/>
    <w:rsid w:val="00FC6913"/>
    <w:rsid w:val="00FC710B"/>
    <w:rsid w:val="00FC73E2"/>
    <w:rsid w:val="00FC7815"/>
    <w:rsid w:val="00FD1EB7"/>
    <w:rsid w:val="00FD2E8D"/>
    <w:rsid w:val="00FD67E3"/>
    <w:rsid w:val="00FE08D7"/>
    <w:rsid w:val="00FE55F8"/>
    <w:rsid w:val="00FF0C0B"/>
    <w:rsid w:val="00FF121D"/>
    <w:rsid w:val="00FF33AB"/>
    <w:rsid w:val="00FF4237"/>
    <w:rsid w:val="00FF50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BF417"/>
  <w15:docId w15:val="{79E4C096-CA44-4BFE-BE97-556F216A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6EB"/>
    <w:pPr>
      <w:spacing w:after="200" w:line="276" w:lineRule="auto"/>
    </w:pPr>
  </w:style>
  <w:style w:type="paragraph" w:styleId="Heading1">
    <w:name w:val="heading 1"/>
    <w:basedOn w:val="Normal"/>
    <w:link w:val="Heading1Char"/>
    <w:uiPriority w:val="9"/>
    <w:qFormat/>
    <w:locked/>
    <w:rsid w:val="00DC3C1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4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72D7"/>
    <w:rPr>
      <w:rFonts w:ascii="Tahoma" w:hAnsi="Tahoma" w:cs="Tahoma"/>
      <w:sz w:val="16"/>
      <w:szCs w:val="16"/>
    </w:rPr>
  </w:style>
  <w:style w:type="paragraph" w:styleId="DocumentMap">
    <w:name w:val="Document Map"/>
    <w:basedOn w:val="Normal"/>
    <w:link w:val="DocumentMapChar"/>
    <w:uiPriority w:val="99"/>
    <w:semiHidden/>
    <w:rsid w:val="008119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119AA"/>
    <w:rPr>
      <w:rFonts w:ascii="Tahoma" w:hAnsi="Tahoma" w:cs="Tahoma"/>
      <w:sz w:val="16"/>
      <w:szCs w:val="16"/>
    </w:rPr>
  </w:style>
  <w:style w:type="character" w:styleId="Hyperlink">
    <w:name w:val="Hyperlink"/>
    <w:basedOn w:val="DefaultParagraphFont"/>
    <w:uiPriority w:val="99"/>
    <w:rsid w:val="00391B83"/>
    <w:rPr>
      <w:rFonts w:cs="Times New Roman"/>
      <w:color w:val="0000FF"/>
      <w:u w:val="single"/>
    </w:rPr>
  </w:style>
  <w:style w:type="character" w:customStyle="1" w:styleId="slug-vol">
    <w:name w:val="slug-vol"/>
    <w:basedOn w:val="DefaultParagraphFont"/>
    <w:uiPriority w:val="99"/>
    <w:rsid w:val="009D4477"/>
    <w:rPr>
      <w:rFonts w:cs="Times New Roman"/>
    </w:rPr>
  </w:style>
  <w:style w:type="character" w:customStyle="1" w:styleId="slug-issue">
    <w:name w:val="slug-issue"/>
    <w:basedOn w:val="DefaultParagraphFont"/>
    <w:uiPriority w:val="99"/>
    <w:rsid w:val="009D4477"/>
    <w:rPr>
      <w:rFonts w:cs="Times New Roman"/>
    </w:rPr>
  </w:style>
  <w:style w:type="character" w:customStyle="1" w:styleId="slug-pub-date5">
    <w:name w:val="slug-pub-date5"/>
    <w:basedOn w:val="DefaultParagraphFont"/>
    <w:uiPriority w:val="99"/>
    <w:rsid w:val="009D4477"/>
    <w:rPr>
      <w:rFonts w:cs="Times New Roman"/>
    </w:rPr>
  </w:style>
  <w:style w:type="character" w:customStyle="1" w:styleId="slug-pages5">
    <w:name w:val="slug-pages5"/>
    <w:basedOn w:val="DefaultParagraphFont"/>
    <w:uiPriority w:val="99"/>
    <w:rsid w:val="009D4477"/>
    <w:rPr>
      <w:rFonts w:cs="Times New Roman"/>
    </w:rPr>
  </w:style>
  <w:style w:type="character" w:customStyle="1" w:styleId="slug-doi2">
    <w:name w:val="slug-doi2"/>
    <w:basedOn w:val="DefaultParagraphFont"/>
    <w:uiPriority w:val="99"/>
    <w:rsid w:val="009D4477"/>
    <w:rPr>
      <w:rFonts w:cs="Times New Roman"/>
    </w:rPr>
  </w:style>
  <w:style w:type="character" w:styleId="Emphasis">
    <w:name w:val="Emphasis"/>
    <w:basedOn w:val="DefaultParagraphFont"/>
    <w:uiPriority w:val="20"/>
    <w:qFormat/>
    <w:locked/>
    <w:rsid w:val="0045758D"/>
    <w:rPr>
      <w:rFonts w:cs="Times New Roman"/>
      <w:i/>
      <w:iCs/>
    </w:rPr>
  </w:style>
  <w:style w:type="character" w:styleId="CommentReference">
    <w:name w:val="annotation reference"/>
    <w:basedOn w:val="DefaultParagraphFont"/>
    <w:uiPriority w:val="99"/>
    <w:semiHidden/>
    <w:unhideWhenUsed/>
    <w:rsid w:val="007120E8"/>
    <w:rPr>
      <w:sz w:val="16"/>
      <w:szCs w:val="16"/>
    </w:rPr>
  </w:style>
  <w:style w:type="paragraph" w:styleId="CommentText">
    <w:name w:val="annotation text"/>
    <w:basedOn w:val="Normal"/>
    <w:link w:val="CommentTextChar"/>
    <w:uiPriority w:val="99"/>
    <w:semiHidden/>
    <w:unhideWhenUsed/>
    <w:rsid w:val="007120E8"/>
    <w:pPr>
      <w:spacing w:line="240" w:lineRule="auto"/>
    </w:pPr>
    <w:rPr>
      <w:sz w:val="20"/>
      <w:szCs w:val="20"/>
    </w:rPr>
  </w:style>
  <w:style w:type="character" w:customStyle="1" w:styleId="CommentTextChar">
    <w:name w:val="Comment Text Char"/>
    <w:basedOn w:val="DefaultParagraphFont"/>
    <w:link w:val="CommentText"/>
    <w:uiPriority w:val="99"/>
    <w:semiHidden/>
    <w:rsid w:val="007120E8"/>
    <w:rPr>
      <w:sz w:val="20"/>
      <w:szCs w:val="20"/>
    </w:rPr>
  </w:style>
  <w:style w:type="paragraph" w:styleId="CommentSubject">
    <w:name w:val="annotation subject"/>
    <w:basedOn w:val="CommentText"/>
    <w:next w:val="CommentText"/>
    <w:link w:val="CommentSubjectChar"/>
    <w:uiPriority w:val="99"/>
    <w:semiHidden/>
    <w:unhideWhenUsed/>
    <w:rsid w:val="007120E8"/>
    <w:rPr>
      <w:b/>
      <w:bCs/>
    </w:rPr>
  </w:style>
  <w:style w:type="character" w:customStyle="1" w:styleId="CommentSubjectChar">
    <w:name w:val="Comment Subject Char"/>
    <w:basedOn w:val="CommentTextChar"/>
    <w:link w:val="CommentSubject"/>
    <w:uiPriority w:val="99"/>
    <w:semiHidden/>
    <w:rsid w:val="007120E8"/>
    <w:rPr>
      <w:b/>
      <w:bCs/>
      <w:sz w:val="20"/>
      <w:szCs w:val="20"/>
    </w:rPr>
  </w:style>
  <w:style w:type="table" w:styleId="LightList-Accent1">
    <w:name w:val="Light List Accent 1"/>
    <w:basedOn w:val="TableNormal"/>
    <w:uiPriority w:val="61"/>
    <w:rsid w:val="00654126"/>
    <w:rPr>
      <w:rFonts w:asciiTheme="majorHAnsi" w:eastAsiaTheme="minorEastAsia" w:hAnsiTheme="majorHAnsi" w:cstheme="minorBid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97600A"/>
    <w:pPr>
      <w:ind w:left="720"/>
      <w:contextualSpacing/>
    </w:pPr>
  </w:style>
  <w:style w:type="character" w:customStyle="1" w:styleId="ref-journal">
    <w:name w:val="ref-journal"/>
    <w:basedOn w:val="DefaultParagraphFont"/>
    <w:rsid w:val="00047844"/>
  </w:style>
  <w:style w:type="character" w:customStyle="1" w:styleId="ref-vol">
    <w:name w:val="ref-vol"/>
    <w:basedOn w:val="DefaultParagraphFont"/>
    <w:rsid w:val="00047844"/>
  </w:style>
  <w:style w:type="character" w:customStyle="1" w:styleId="UnresolvedMention1">
    <w:name w:val="Unresolved Mention1"/>
    <w:basedOn w:val="DefaultParagraphFont"/>
    <w:uiPriority w:val="99"/>
    <w:semiHidden/>
    <w:unhideWhenUsed/>
    <w:rsid w:val="0065640A"/>
    <w:rPr>
      <w:color w:val="605E5C"/>
      <w:shd w:val="clear" w:color="auto" w:fill="E1DFDD"/>
    </w:rPr>
  </w:style>
  <w:style w:type="paragraph" w:styleId="Revision">
    <w:name w:val="Revision"/>
    <w:hidden/>
    <w:uiPriority w:val="99"/>
    <w:semiHidden/>
    <w:rsid w:val="00C22CD7"/>
  </w:style>
  <w:style w:type="table" w:styleId="TableGrid">
    <w:name w:val="Table Grid"/>
    <w:basedOn w:val="TableNormal"/>
    <w:locked/>
    <w:rsid w:val="000D2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
    <w:name w:val="contrib"/>
    <w:basedOn w:val="DefaultParagraphFont"/>
    <w:rsid w:val="00F96D45"/>
  </w:style>
  <w:style w:type="character" w:customStyle="1" w:styleId="authorname">
    <w:name w:val="authorname"/>
    <w:basedOn w:val="DefaultParagraphFont"/>
    <w:rsid w:val="00F96D45"/>
  </w:style>
  <w:style w:type="character" w:customStyle="1" w:styleId="UnresolvedMention2">
    <w:name w:val="Unresolved Mention2"/>
    <w:basedOn w:val="DefaultParagraphFont"/>
    <w:uiPriority w:val="99"/>
    <w:semiHidden/>
    <w:unhideWhenUsed/>
    <w:rsid w:val="009B24EC"/>
    <w:rPr>
      <w:color w:val="605E5C"/>
      <w:shd w:val="clear" w:color="auto" w:fill="E1DFDD"/>
    </w:rPr>
  </w:style>
  <w:style w:type="character" w:customStyle="1" w:styleId="bkciteavail">
    <w:name w:val="bk_cite_avail"/>
    <w:basedOn w:val="DefaultParagraphFont"/>
    <w:rsid w:val="00BD22CA"/>
  </w:style>
  <w:style w:type="paragraph" w:styleId="NormalWeb">
    <w:name w:val="Normal (Web)"/>
    <w:basedOn w:val="Normal"/>
    <w:uiPriority w:val="99"/>
    <w:semiHidden/>
    <w:unhideWhenUsed/>
    <w:rsid w:val="007F1525"/>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C3C11"/>
    <w:rPr>
      <w:rFonts w:ascii="Times New Roman" w:eastAsia="Times New Roman" w:hAnsi="Times New Roman"/>
      <w:b/>
      <w:bCs/>
      <w:kern w:val="36"/>
      <w:sz w:val="48"/>
      <w:szCs w:val="48"/>
    </w:rPr>
  </w:style>
  <w:style w:type="character" w:customStyle="1" w:styleId="ref-title">
    <w:name w:val="ref-title"/>
    <w:basedOn w:val="DefaultParagraphFont"/>
    <w:rsid w:val="00D05A3D"/>
  </w:style>
  <w:style w:type="character" w:customStyle="1" w:styleId="ref-iss">
    <w:name w:val="ref-iss"/>
    <w:basedOn w:val="DefaultParagraphFont"/>
    <w:rsid w:val="00D05A3D"/>
  </w:style>
  <w:style w:type="character" w:styleId="UnresolvedMention">
    <w:name w:val="Unresolved Mention"/>
    <w:basedOn w:val="DefaultParagraphFont"/>
    <w:uiPriority w:val="99"/>
    <w:semiHidden/>
    <w:unhideWhenUsed/>
    <w:rsid w:val="00F47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302">
      <w:bodyDiv w:val="1"/>
      <w:marLeft w:val="0"/>
      <w:marRight w:val="0"/>
      <w:marTop w:val="0"/>
      <w:marBottom w:val="0"/>
      <w:divBdr>
        <w:top w:val="none" w:sz="0" w:space="0" w:color="auto"/>
        <w:left w:val="none" w:sz="0" w:space="0" w:color="auto"/>
        <w:bottom w:val="none" w:sz="0" w:space="0" w:color="auto"/>
        <w:right w:val="none" w:sz="0" w:space="0" w:color="auto"/>
      </w:divBdr>
      <w:divsChild>
        <w:div w:id="1456942434">
          <w:marLeft w:val="0"/>
          <w:marRight w:val="0"/>
          <w:marTop w:val="0"/>
          <w:marBottom w:val="0"/>
          <w:divBdr>
            <w:top w:val="none" w:sz="0" w:space="0" w:color="auto"/>
            <w:left w:val="none" w:sz="0" w:space="0" w:color="auto"/>
            <w:bottom w:val="none" w:sz="0" w:space="0" w:color="auto"/>
            <w:right w:val="none" w:sz="0" w:space="0" w:color="auto"/>
          </w:divBdr>
        </w:div>
        <w:div w:id="445271456">
          <w:marLeft w:val="0"/>
          <w:marRight w:val="0"/>
          <w:marTop w:val="0"/>
          <w:marBottom w:val="0"/>
          <w:divBdr>
            <w:top w:val="none" w:sz="0" w:space="0" w:color="auto"/>
            <w:left w:val="none" w:sz="0" w:space="0" w:color="auto"/>
            <w:bottom w:val="none" w:sz="0" w:space="0" w:color="auto"/>
            <w:right w:val="none" w:sz="0" w:space="0" w:color="auto"/>
          </w:divBdr>
        </w:div>
      </w:divsChild>
    </w:div>
    <w:div w:id="314797710">
      <w:bodyDiv w:val="1"/>
      <w:marLeft w:val="0"/>
      <w:marRight w:val="0"/>
      <w:marTop w:val="0"/>
      <w:marBottom w:val="0"/>
      <w:divBdr>
        <w:top w:val="none" w:sz="0" w:space="0" w:color="auto"/>
        <w:left w:val="none" w:sz="0" w:space="0" w:color="auto"/>
        <w:bottom w:val="none" w:sz="0" w:space="0" w:color="auto"/>
        <w:right w:val="none" w:sz="0" w:space="0" w:color="auto"/>
      </w:divBdr>
      <w:divsChild>
        <w:div w:id="32509010">
          <w:marLeft w:val="0"/>
          <w:marRight w:val="0"/>
          <w:marTop w:val="0"/>
          <w:marBottom w:val="0"/>
          <w:divBdr>
            <w:top w:val="none" w:sz="0" w:space="0" w:color="auto"/>
            <w:left w:val="none" w:sz="0" w:space="0" w:color="auto"/>
            <w:bottom w:val="none" w:sz="0" w:space="0" w:color="auto"/>
            <w:right w:val="none" w:sz="0" w:space="0" w:color="auto"/>
          </w:divBdr>
        </w:div>
        <w:div w:id="776216575">
          <w:marLeft w:val="0"/>
          <w:marRight w:val="0"/>
          <w:marTop w:val="0"/>
          <w:marBottom w:val="0"/>
          <w:divBdr>
            <w:top w:val="none" w:sz="0" w:space="0" w:color="auto"/>
            <w:left w:val="none" w:sz="0" w:space="0" w:color="auto"/>
            <w:bottom w:val="none" w:sz="0" w:space="0" w:color="auto"/>
            <w:right w:val="none" w:sz="0" w:space="0" w:color="auto"/>
          </w:divBdr>
        </w:div>
      </w:divsChild>
    </w:div>
    <w:div w:id="383523860">
      <w:bodyDiv w:val="1"/>
      <w:marLeft w:val="0"/>
      <w:marRight w:val="0"/>
      <w:marTop w:val="0"/>
      <w:marBottom w:val="0"/>
      <w:divBdr>
        <w:top w:val="none" w:sz="0" w:space="0" w:color="auto"/>
        <w:left w:val="none" w:sz="0" w:space="0" w:color="auto"/>
        <w:bottom w:val="none" w:sz="0" w:space="0" w:color="auto"/>
        <w:right w:val="none" w:sz="0" w:space="0" w:color="auto"/>
      </w:divBdr>
    </w:div>
    <w:div w:id="387993544">
      <w:bodyDiv w:val="1"/>
      <w:marLeft w:val="0"/>
      <w:marRight w:val="0"/>
      <w:marTop w:val="0"/>
      <w:marBottom w:val="0"/>
      <w:divBdr>
        <w:top w:val="none" w:sz="0" w:space="0" w:color="auto"/>
        <w:left w:val="none" w:sz="0" w:space="0" w:color="auto"/>
        <w:bottom w:val="none" w:sz="0" w:space="0" w:color="auto"/>
        <w:right w:val="none" w:sz="0" w:space="0" w:color="auto"/>
      </w:divBdr>
    </w:div>
    <w:div w:id="446242294">
      <w:bodyDiv w:val="1"/>
      <w:marLeft w:val="0"/>
      <w:marRight w:val="0"/>
      <w:marTop w:val="0"/>
      <w:marBottom w:val="0"/>
      <w:divBdr>
        <w:top w:val="none" w:sz="0" w:space="0" w:color="auto"/>
        <w:left w:val="none" w:sz="0" w:space="0" w:color="auto"/>
        <w:bottom w:val="none" w:sz="0" w:space="0" w:color="auto"/>
        <w:right w:val="none" w:sz="0" w:space="0" w:color="auto"/>
      </w:divBdr>
    </w:div>
    <w:div w:id="829911303">
      <w:bodyDiv w:val="1"/>
      <w:marLeft w:val="0"/>
      <w:marRight w:val="0"/>
      <w:marTop w:val="0"/>
      <w:marBottom w:val="0"/>
      <w:divBdr>
        <w:top w:val="none" w:sz="0" w:space="0" w:color="auto"/>
        <w:left w:val="none" w:sz="0" w:space="0" w:color="auto"/>
        <w:bottom w:val="none" w:sz="0" w:space="0" w:color="auto"/>
        <w:right w:val="none" w:sz="0" w:space="0" w:color="auto"/>
      </w:divBdr>
    </w:div>
    <w:div w:id="875700291">
      <w:bodyDiv w:val="1"/>
      <w:marLeft w:val="0"/>
      <w:marRight w:val="0"/>
      <w:marTop w:val="0"/>
      <w:marBottom w:val="0"/>
      <w:divBdr>
        <w:top w:val="none" w:sz="0" w:space="0" w:color="auto"/>
        <w:left w:val="none" w:sz="0" w:space="0" w:color="auto"/>
        <w:bottom w:val="none" w:sz="0" w:space="0" w:color="auto"/>
        <w:right w:val="none" w:sz="0" w:space="0" w:color="auto"/>
      </w:divBdr>
    </w:div>
    <w:div w:id="1121342601">
      <w:bodyDiv w:val="1"/>
      <w:marLeft w:val="0"/>
      <w:marRight w:val="0"/>
      <w:marTop w:val="0"/>
      <w:marBottom w:val="0"/>
      <w:divBdr>
        <w:top w:val="none" w:sz="0" w:space="0" w:color="auto"/>
        <w:left w:val="none" w:sz="0" w:space="0" w:color="auto"/>
        <w:bottom w:val="none" w:sz="0" w:space="0" w:color="auto"/>
        <w:right w:val="none" w:sz="0" w:space="0" w:color="auto"/>
      </w:divBdr>
    </w:div>
    <w:div w:id="1603537681">
      <w:bodyDiv w:val="1"/>
      <w:marLeft w:val="0"/>
      <w:marRight w:val="0"/>
      <w:marTop w:val="0"/>
      <w:marBottom w:val="0"/>
      <w:divBdr>
        <w:top w:val="none" w:sz="0" w:space="0" w:color="auto"/>
        <w:left w:val="none" w:sz="0" w:space="0" w:color="auto"/>
        <w:bottom w:val="none" w:sz="0" w:space="0" w:color="auto"/>
        <w:right w:val="none" w:sz="0" w:space="0" w:color="auto"/>
      </w:divBdr>
    </w:div>
    <w:div w:id="1632050514">
      <w:bodyDiv w:val="1"/>
      <w:marLeft w:val="0"/>
      <w:marRight w:val="0"/>
      <w:marTop w:val="0"/>
      <w:marBottom w:val="0"/>
      <w:divBdr>
        <w:top w:val="none" w:sz="0" w:space="0" w:color="auto"/>
        <w:left w:val="none" w:sz="0" w:space="0" w:color="auto"/>
        <w:bottom w:val="none" w:sz="0" w:space="0" w:color="auto"/>
        <w:right w:val="none" w:sz="0" w:space="0" w:color="auto"/>
      </w:divBdr>
    </w:div>
    <w:div w:id="1831670639">
      <w:bodyDiv w:val="1"/>
      <w:marLeft w:val="0"/>
      <w:marRight w:val="0"/>
      <w:marTop w:val="0"/>
      <w:marBottom w:val="0"/>
      <w:divBdr>
        <w:top w:val="none" w:sz="0" w:space="0" w:color="auto"/>
        <w:left w:val="none" w:sz="0" w:space="0" w:color="auto"/>
        <w:bottom w:val="none" w:sz="0" w:space="0" w:color="auto"/>
        <w:right w:val="none" w:sz="0" w:space="0" w:color="auto"/>
      </w:divBdr>
    </w:div>
    <w:div w:id="1878200941">
      <w:bodyDiv w:val="1"/>
      <w:marLeft w:val="0"/>
      <w:marRight w:val="0"/>
      <w:marTop w:val="0"/>
      <w:marBottom w:val="0"/>
      <w:divBdr>
        <w:top w:val="none" w:sz="0" w:space="0" w:color="auto"/>
        <w:left w:val="none" w:sz="0" w:space="0" w:color="auto"/>
        <w:bottom w:val="none" w:sz="0" w:space="0" w:color="auto"/>
        <w:right w:val="none" w:sz="0" w:space="0" w:color="auto"/>
      </w:divBdr>
    </w:div>
    <w:div w:id="2075734280">
      <w:marLeft w:val="0"/>
      <w:marRight w:val="0"/>
      <w:marTop w:val="0"/>
      <w:marBottom w:val="0"/>
      <w:divBdr>
        <w:top w:val="none" w:sz="0" w:space="0" w:color="auto"/>
        <w:left w:val="none" w:sz="0" w:space="0" w:color="auto"/>
        <w:bottom w:val="none" w:sz="0" w:space="0" w:color="auto"/>
        <w:right w:val="none" w:sz="0" w:space="0" w:color="auto"/>
      </w:divBdr>
    </w:div>
    <w:div w:id="2075734281">
      <w:marLeft w:val="0"/>
      <w:marRight w:val="0"/>
      <w:marTop w:val="0"/>
      <w:marBottom w:val="0"/>
      <w:divBdr>
        <w:top w:val="none" w:sz="0" w:space="0" w:color="auto"/>
        <w:left w:val="none" w:sz="0" w:space="0" w:color="auto"/>
        <w:bottom w:val="none" w:sz="0" w:space="0" w:color="auto"/>
        <w:right w:val="none" w:sz="0" w:space="0" w:color="auto"/>
      </w:divBdr>
    </w:div>
    <w:div w:id="2075734282">
      <w:marLeft w:val="0"/>
      <w:marRight w:val="0"/>
      <w:marTop w:val="0"/>
      <w:marBottom w:val="0"/>
      <w:divBdr>
        <w:top w:val="none" w:sz="0" w:space="0" w:color="auto"/>
        <w:left w:val="none" w:sz="0" w:space="0" w:color="auto"/>
        <w:bottom w:val="none" w:sz="0" w:space="0" w:color="auto"/>
        <w:right w:val="none" w:sz="0" w:space="0" w:color="auto"/>
      </w:divBdr>
    </w:div>
    <w:div w:id="2075734283">
      <w:marLeft w:val="0"/>
      <w:marRight w:val="0"/>
      <w:marTop w:val="0"/>
      <w:marBottom w:val="0"/>
      <w:divBdr>
        <w:top w:val="none" w:sz="0" w:space="0" w:color="auto"/>
        <w:left w:val="none" w:sz="0" w:space="0" w:color="auto"/>
        <w:bottom w:val="none" w:sz="0" w:space="0" w:color="auto"/>
        <w:right w:val="none" w:sz="0" w:space="0" w:color="auto"/>
      </w:divBdr>
    </w:div>
    <w:div w:id="2075734284">
      <w:marLeft w:val="0"/>
      <w:marRight w:val="0"/>
      <w:marTop w:val="0"/>
      <w:marBottom w:val="0"/>
      <w:divBdr>
        <w:top w:val="none" w:sz="0" w:space="0" w:color="auto"/>
        <w:left w:val="none" w:sz="0" w:space="0" w:color="auto"/>
        <w:bottom w:val="none" w:sz="0" w:space="0" w:color="auto"/>
        <w:right w:val="none" w:sz="0" w:space="0" w:color="auto"/>
      </w:divBdr>
    </w:div>
    <w:div w:id="2075734285">
      <w:marLeft w:val="0"/>
      <w:marRight w:val="0"/>
      <w:marTop w:val="0"/>
      <w:marBottom w:val="0"/>
      <w:divBdr>
        <w:top w:val="none" w:sz="0" w:space="0" w:color="auto"/>
        <w:left w:val="none" w:sz="0" w:space="0" w:color="auto"/>
        <w:bottom w:val="none" w:sz="0" w:space="0" w:color="auto"/>
        <w:right w:val="none" w:sz="0" w:space="0" w:color="auto"/>
      </w:divBdr>
    </w:div>
    <w:div w:id="2075734286">
      <w:marLeft w:val="0"/>
      <w:marRight w:val="0"/>
      <w:marTop w:val="0"/>
      <w:marBottom w:val="0"/>
      <w:divBdr>
        <w:top w:val="none" w:sz="0" w:space="0" w:color="auto"/>
        <w:left w:val="none" w:sz="0" w:space="0" w:color="auto"/>
        <w:bottom w:val="none" w:sz="0" w:space="0" w:color="auto"/>
        <w:right w:val="none" w:sz="0" w:space="0" w:color="auto"/>
      </w:divBdr>
    </w:div>
    <w:div w:id="2075734287">
      <w:marLeft w:val="0"/>
      <w:marRight w:val="0"/>
      <w:marTop w:val="0"/>
      <w:marBottom w:val="0"/>
      <w:divBdr>
        <w:top w:val="none" w:sz="0" w:space="0" w:color="auto"/>
        <w:left w:val="none" w:sz="0" w:space="0" w:color="auto"/>
        <w:bottom w:val="none" w:sz="0" w:space="0" w:color="auto"/>
        <w:right w:val="none" w:sz="0" w:space="0" w:color="auto"/>
      </w:divBdr>
    </w:div>
    <w:div w:id="2075734288">
      <w:marLeft w:val="0"/>
      <w:marRight w:val="0"/>
      <w:marTop w:val="0"/>
      <w:marBottom w:val="0"/>
      <w:divBdr>
        <w:top w:val="none" w:sz="0" w:space="0" w:color="auto"/>
        <w:left w:val="none" w:sz="0" w:space="0" w:color="auto"/>
        <w:bottom w:val="none" w:sz="0" w:space="0" w:color="auto"/>
        <w:right w:val="none" w:sz="0" w:space="0" w:color="auto"/>
      </w:divBdr>
    </w:div>
    <w:div w:id="2075734289">
      <w:marLeft w:val="0"/>
      <w:marRight w:val="0"/>
      <w:marTop w:val="0"/>
      <w:marBottom w:val="0"/>
      <w:divBdr>
        <w:top w:val="none" w:sz="0" w:space="0" w:color="auto"/>
        <w:left w:val="none" w:sz="0" w:space="0" w:color="auto"/>
        <w:bottom w:val="none" w:sz="0" w:space="0" w:color="auto"/>
        <w:right w:val="none" w:sz="0" w:space="0" w:color="auto"/>
      </w:divBdr>
    </w:div>
    <w:div w:id="2075734290">
      <w:marLeft w:val="0"/>
      <w:marRight w:val="0"/>
      <w:marTop w:val="0"/>
      <w:marBottom w:val="0"/>
      <w:divBdr>
        <w:top w:val="none" w:sz="0" w:space="0" w:color="auto"/>
        <w:left w:val="none" w:sz="0" w:space="0" w:color="auto"/>
        <w:bottom w:val="none" w:sz="0" w:space="0" w:color="auto"/>
        <w:right w:val="none" w:sz="0" w:space="0" w:color="auto"/>
      </w:divBdr>
    </w:div>
    <w:div w:id="2075734291">
      <w:marLeft w:val="0"/>
      <w:marRight w:val="0"/>
      <w:marTop w:val="0"/>
      <w:marBottom w:val="0"/>
      <w:divBdr>
        <w:top w:val="none" w:sz="0" w:space="0" w:color="auto"/>
        <w:left w:val="none" w:sz="0" w:space="0" w:color="auto"/>
        <w:bottom w:val="none" w:sz="0" w:space="0" w:color="auto"/>
        <w:right w:val="none" w:sz="0" w:space="0" w:color="auto"/>
      </w:divBdr>
    </w:div>
    <w:div w:id="2075734292">
      <w:marLeft w:val="0"/>
      <w:marRight w:val="0"/>
      <w:marTop w:val="0"/>
      <w:marBottom w:val="0"/>
      <w:divBdr>
        <w:top w:val="none" w:sz="0" w:space="0" w:color="auto"/>
        <w:left w:val="none" w:sz="0" w:space="0" w:color="auto"/>
        <w:bottom w:val="none" w:sz="0" w:space="0" w:color="auto"/>
        <w:right w:val="none" w:sz="0" w:space="0" w:color="auto"/>
      </w:divBdr>
    </w:div>
    <w:div w:id="2075734293">
      <w:marLeft w:val="0"/>
      <w:marRight w:val="0"/>
      <w:marTop w:val="0"/>
      <w:marBottom w:val="0"/>
      <w:divBdr>
        <w:top w:val="none" w:sz="0" w:space="0" w:color="auto"/>
        <w:left w:val="none" w:sz="0" w:space="0" w:color="auto"/>
        <w:bottom w:val="none" w:sz="0" w:space="0" w:color="auto"/>
        <w:right w:val="none" w:sz="0" w:space="0" w:color="auto"/>
      </w:divBdr>
    </w:div>
    <w:div w:id="2075734294">
      <w:marLeft w:val="0"/>
      <w:marRight w:val="0"/>
      <w:marTop w:val="0"/>
      <w:marBottom w:val="0"/>
      <w:divBdr>
        <w:top w:val="none" w:sz="0" w:space="0" w:color="auto"/>
        <w:left w:val="none" w:sz="0" w:space="0" w:color="auto"/>
        <w:bottom w:val="none" w:sz="0" w:space="0" w:color="auto"/>
        <w:right w:val="none" w:sz="0" w:space="0" w:color="auto"/>
      </w:divBdr>
    </w:div>
    <w:div w:id="2075734295">
      <w:marLeft w:val="0"/>
      <w:marRight w:val="0"/>
      <w:marTop w:val="0"/>
      <w:marBottom w:val="0"/>
      <w:divBdr>
        <w:top w:val="none" w:sz="0" w:space="0" w:color="auto"/>
        <w:left w:val="none" w:sz="0" w:space="0" w:color="auto"/>
        <w:bottom w:val="none" w:sz="0" w:space="0" w:color="auto"/>
        <w:right w:val="none" w:sz="0" w:space="0" w:color="auto"/>
      </w:divBdr>
    </w:div>
    <w:div w:id="2075734296">
      <w:marLeft w:val="0"/>
      <w:marRight w:val="0"/>
      <w:marTop w:val="0"/>
      <w:marBottom w:val="0"/>
      <w:divBdr>
        <w:top w:val="none" w:sz="0" w:space="0" w:color="auto"/>
        <w:left w:val="none" w:sz="0" w:space="0" w:color="auto"/>
        <w:bottom w:val="none" w:sz="0" w:space="0" w:color="auto"/>
        <w:right w:val="none" w:sz="0" w:space="0" w:color="auto"/>
      </w:divBdr>
    </w:div>
    <w:div w:id="2075734297">
      <w:marLeft w:val="0"/>
      <w:marRight w:val="0"/>
      <w:marTop w:val="0"/>
      <w:marBottom w:val="0"/>
      <w:divBdr>
        <w:top w:val="none" w:sz="0" w:space="0" w:color="auto"/>
        <w:left w:val="none" w:sz="0" w:space="0" w:color="auto"/>
        <w:bottom w:val="none" w:sz="0" w:space="0" w:color="auto"/>
        <w:right w:val="none" w:sz="0" w:space="0" w:color="auto"/>
      </w:divBdr>
    </w:div>
    <w:div w:id="2075734298">
      <w:marLeft w:val="0"/>
      <w:marRight w:val="0"/>
      <w:marTop w:val="0"/>
      <w:marBottom w:val="0"/>
      <w:divBdr>
        <w:top w:val="none" w:sz="0" w:space="0" w:color="auto"/>
        <w:left w:val="none" w:sz="0" w:space="0" w:color="auto"/>
        <w:bottom w:val="none" w:sz="0" w:space="0" w:color="auto"/>
        <w:right w:val="none" w:sz="0" w:space="0" w:color="auto"/>
      </w:divBdr>
    </w:div>
    <w:div w:id="2075734299">
      <w:marLeft w:val="0"/>
      <w:marRight w:val="0"/>
      <w:marTop w:val="0"/>
      <w:marBottom w:val="0"/>
      <w:divBdr>
        <w:top w:val="none" w:sz="0" w:space="0" w:color="auto"/>
        <w:left w:val="none" w:sz="0" w:space="0" w:color="auto"/>
        <w:bottom w:val="none" w:sz="0" w:space="0" w:color="auto"/>
        <w:right w:val="none" w:sz="0" w:space="0" w:color="auto"/>
      </w:divBdr>
    </w:div>
    <w:div w:id="2075734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2147%2FCPAA.S345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inicalpharmacolog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4ECA3-DB1F-4978-8288-70E8EB0D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11516</Words>
  <Characters>65646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dc:creator>
  <cp:lastModifiedBy>Kenneth Feingold</cp:lastModifiedBy>
  <cp:revision>6</cp:revision>
  <cp:lastPrinted>2023-11-13T17:02:00Z</cp:lastPrinted>
  <dcterms:created xsi:type="dcterms:W3CDTF">2023-11-25T01:08:00Z</dcterms:created>
  <dcterms:modified xsi:type="dcterms:W3CDTF">2023-11-25T02:14:00Z</dcterms:modified>
</cp:coreProperties>
</file>